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B6" w:rsidRPr="00D77440" w:rsidRDefault="002955B6" w:rsidP="00615FBF">
      <w:pPr>
        <w:pStyle w:val="NADPISBDO1"/>
        <w:numPr>
          <w:ilvl w:val="0"/>
          <w:numId w:val="0"/>
        </w:numPr>
        <w:spacing w:before="0"/>
        <w:ind w:left="360" w:hanging="360"/>
        <w:rPr>
          <w:rFonts w:cs="Times New Roman"/>
        </w:rPr>
      </w:pPr>
      <w:r w:rsidRPr="00D77440">
        <w:rPr>
          <w:rFonts w:cs="Times New Roman"/>
        </w:rPr>
        <w:t>Analýza rizik</w:t>
      </w:r>
    </w:p>
    <w:p w:rsidR="002955B6" w:rsidRPr="00D77440" w:rsidRDefault="006C70A2" w:rsidP="00615FBF">
      <w:pPr>
        <w:pStyle w:val="NormTEXT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Audit</w:t>
      </w:r>
      <w:r w:rsidR="002955B6" w:rsidRPr="00D77440">
        <w:rPr>
          <w:rFonts w:cs="Times New Roman"/>
          <w:color w:val="000000" w:themeColor="text1"/>
        </w:rPr>
        <w:t xml:space="preserve"> zahrnoval mapování celkového prostředí klienta, </w:t>
      </w:r>
      <w:r w:rsidR="00800620">
        <w:rPr>
          <w:rFonts w:cs="Times New Roman"/>
          <w:color w:val="000000" w:themeColor="text1"/>
        </w:rPr>
        <w:t>v</w:t>
      </w:r>
      <w:r w:rsidR="002955B6" w:rsidRPr="00D77440">
        <w:rPr>
          <w:rFonts w:cs="Times New Roman"/>
          <w:color w:val="000000" w:themeColor="text1"/>
        </w:rPr>
        <w:t> návaznosti na získané údaje byla zpracována analýza rizik</w:t>
      </w:r>
      <w:r>
        <w:rPr>
          <w:rFonts w:cs="Times New Roman"/>
          <w:color w:val="000000" w:themeColor="text1"/>
        </w:rPr>
        <w:t>.</w:t>
      </w:r>
      <w:r w:rsidR="002955B6" w:rsidRPr="00D77440">
        <w:rPr>
          <w:rFonts w:cs="Times New Roman"/>
          <w:color w:val="000000" w:themeColor="text1"/>
        </w:rPr>
        <w:t xml:space="preserve"> Na základě této analýzy rizik by měl</w:t>
      </w:r>
      <w:r w:rsidR="00615FBF">
        <w:rPr>
          <w:rFonts w:cs="Times New Roman"/>
          <w:color w:val="000000" w:themeColor="text1"/>
        </w:rPr>
        <w:t>a organizace</w:t>
      </w:r>
      <w:r w:rsidR="002955B6" w:rsidRPr="00D77440">
        <w:rPr>
          <w:rFonts w:cs="Times New Roman"/>
          <w:color w:val="000000" w:themeColor="text1"/>
        </w:rPr>
        <w:t xml:space="preserve"> přijmout vhodná organizační a technická opatření, a to v pořadí vyplývající z analýzy rizik a v souladu s doporučeními uvedenými ve zpráv</w:t>
      </w:r>
      <w:r>
        <w:rPr>
          <w:rFonts w:cs="Times New Roman"/>
          <w:color w:val="000000" w:themeColor="text1"/>
        </w:rPr>
        <w:t>ě</w:t>
      </w:r>
      <w:r w:rsidR="002955B6" w:rsidRPr="00D77440">
        <w:rPr>
          <w:rFonts w:cs="Times New Roman"/>
          <w:color w:val="000000" w:themeColor="text1"/>
        </w:rPr>
        <w:t>.</w:t>
      </w:r>
    </w:p>
    <w:p w:rsidR="002955B6" w:rsidRPr="00D77440" w:rsidRDefault="002955B6" w:rsidP="00615FBF">
      <w:pPr>
        <w:pStyle w:val="NormTEXT"/>
        <w:spacing w:line="360" w:lineRule="auto"/>
        <w:jc w:val="both"/>
        <w:rPr>
          <w:rFonts w:cs="Times New Roman"/>
          <w:color w:val="000000" w:themeColor="text1"/>
        </w:rPr>
      </w:pPr>
      <w:r w:rsidRPr="00D77440">
        <w:rPr>
          <w:rFonts w:cs="Times New Roman"/>
          <w:color w:val="000000" w:themeColor="text1"/>
        </w:rPr>
        <w:t xml:space="preserve">Zpracování probíhá v listinné a elektronické </w:t>
      </w:r>
      <w:r w:rsidR="00615FBF">
        <w:rPr>
          <w:rFonts w:cs="Times New Roman"/>
          <w:color w:val="000000" w:themeColor="text1"/>
        </w:rPr>
        <w:t xml:space="preserve">podobě, </w:t>
      </w:r>
      <w:r w:rsidRPr="00D77440">
        <w:rPr>
          <w:rFonts w:cs="Times New Roman"/>
          <w:color w:val="000000" w:themeColor="text1"/>
        </w:rPr>
        <w:t>kdy elektronická evidence vykazuje vysokou míru vyspělosti, avšak neobsahuje všechny kontrolní prvky v kontextu Nařízení GDPR. U listinné podoby zpracování OÚ mnohdy dochází k duplicitám zpracování OÚ. Analýza taktéž prokázala nízkou míru odolnosti listinné podoby zpracování OÚ vůči identifikovaným hrozbám.</w:t>
      </w:r>
    </w:p>
    <w:p w:rsidR="002955B6" w:rsidRPr="00D77440" w:rsidRDefault="002955B6" w:rsidP="00615FBF">
      <w:pPr>
        <w:pStyle w:val="NormTEXT"/>
        <w:spacing w:line="360" w:lineRule="auto"/>
        <w:jc w:val="both"/>
        <w:rPr>
          <w:rFonts w:cs="Times New Roman"/>
          <w:color w:val="000000" w:themeColor="text1"/>
        </w:rPr>
      </w:pPr>
      <w:r w:rsidRPr="00D77440">
        <w:rPr>
          <w:rFonts w:cs="Times New Roman"/>
          <w:color w:val="000000" w:themeColor="text1"/>
        </w:rPr>
        <w:t>Řízení rizik má být vykonáváno podle článku 25 a článku 32 Nařízení Evropského parlamentu a Rady EU 2016/679. Řízení rizik je prováděno s cílem určit vhodná technická a organizační opatření, která je nezbytné zavést pro zajištění bezpečnosti osobních údajů při jejich zpracování Objednatelem a pro zmírnění nebo eliminaci rizik pro práva subjektu údajů vztahujícím se k realizovanému zpracování.</w:t>
      </w:r>
    </w:p>
    <w:p w:rsidR="002955B6" w:rsidRPr="00D77440" w:rsidRDefault="002955B6" w:rsidP="00615FBF">
      <w:pPr>
        <w:pStyle w:val="NormTEXT"/>
        <w:spacing w:line="360" w:lineRule="auto"/>
        <w:jc w:val="both"/>
        <w:rPr>
          <w:rFonts w:cs="Times New Roman"/>
          <w:color w:val="000000" w:themeColor="text1"/>
        </w:rPr>
      </w:pPr>
      <w:r w:rsidRPr="00D77440">
        <w:rPr>
          <w:rFonts w:cs="Times New Roman"/>
          <w:color w:val="000000" w:themeColor="text1"/>
        </w:rPr>
        <w:t xml:space="preserve">Na základě identifikace primárních aktiv bylo provedeno ohodnocení primárních aktiv dle jejich kritičnosti pro organizaci. Následně byla provedena definice hrozeb a identifikace pravděpodobnosti výskytu hrozeb u daného aktiva. V dalším kroku bylo provedeno expertní posouzení zranitelnosti jednotlivých aktiv vůči hrozbám. Výstupem výpočet celkové míry rizika. </w:t>
      </w:r>
    </w:p>
    <w:p w:rsidR="002955B6" w:rsidRPr="00615FBF" w:rsidRDefault="002955B6" w:rsidP="00615FBF">
      <w:pPr>
        <w:pStyle w:val="NormTEXT"/>
        <w:spacing w:line="36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615FBF">
        <w:rPr>
          <w:rFonts w:cs="Times New Roman"/>
          <w:b/>
          <w:i/>
          <w:color w:val="000000" w:themeColor="text1"/>
          <w:szCs w:val="24"/>
        </w:rPr>
        <w:t>Celý proces analýzy rizik obsahuje následující kroky: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Určení a ohodnocení primárních aktiv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Identifikace pravděpodobnosti hrozeb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Identifikace zranitelnosti (rizikovosti)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Výpočet celkové míry rizika</w:t>
      </w:r>
    </w:p>
    <w:p w:rsidR="002955B6" w:rsidRPr="00615FBF" w:rsidRDefault="002955B6" w:rsidP="00615FBF">
      <w:pPr>
        <w:pStyle w:val="NormTEXT"/>
        <w:spacing w:line="36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615FBF">
        <w:rPr>
          <w:rFonts w:cs="Times New Roman"/>
          <w:b/>
          <w:i/>
          <w:color w:val="000000" w:themeColor="text1"/>
          <w:szCs w:val="24"/>
        </w:rPr>
        <w:t>Celý proces analýzy rizik obsahuje následující základní pojmy: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hrozba (</w:t>
      </w:r>
      <w:proofErr w:type="spellStart"/>
      <w:r w:rsidRPr="00D77440">
        <w:rPr>
          <w:rFonts w:cs="Times New Roman"/>
          <w:color w:val="000000" w:themeColor="text1"/>
          <w:szCs w:val="24"/>
        </w:rPr>
        <w:t>threat</w:t>
      </w:r>
      <w:proofErr w:type="spellEnd"/>
      <w:r w:rsidRPr="00D77440">
        <w:rPr>
          <w:rFonts w:cs="Times New Roman"/>
          <w:color w:val="000000" w:themeColor="text1"/>
          <w:szCs w:val="24"/>
        </w:rPr>
        <w:t>) – jakákoliv událost, která může způsobit narušení důvěrnosti, integrity a dostupnosti aktiva</w:t>
      </w:r>
      <w:r w:rsidR="00615FBF">
        <w:rPr>
          <w:rFonts w:cs="Times New Roman"/>
          <w:color w:val="000000" w:themeColor="text1"/>
          <w:szCs w:val="24"/>
        </w:rPr>
        <w:t>;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zranitelnost (vulnerability) – vlastnost aktiva nebo slabina na úrovni fyzické, logické nebo administrativní bezpečnosti, která může být zneužita hrozbou</w:t>
      </w:r>
      <w:r w:rsidR="00615FBF">
        <w:rPr>
          <w:rFonts w:cs="Times New Roman"/>
          <w:color w:val="000000" w:themeColor="text1"/>
          <w:szCs w:val="24"/>
        </w:rPr>
        <w:t>;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lastRenderedPageBreak/>
        <w:t>celková míra rizika – pravděpodobnost, že hrozba zneužije zranitelnost a způsobí narušení důvěrnosti, integrity nebo dostupnosti</w:t>
      </w:r>
      <w:r w:rsidR="00615FBF">
        <w:rPr>
          <w:rFonts w:cs="Times New Roman"/>
          <w:color w:val="000000" w:themeColor="text1"/>
          <w:szCs w:val="24"/>
        </w:rPr>
        <w:t>;</w:t>
      </w:r>
    </w:p>
    <w:p w:rsidR="002955B6" w:rsidRPr="00D77440" w:rsidRDefault="002955B6" w:rsidP="00615FBF">
      <w:pPr>
        <w:pStyle w:val="NormTEXT"/>
        <w:numPr>
          <w:ilvl w:val="0"/>
          <w:numId w:val="3"/>
        </w:numPr>
        <w:spacing w:line="360" w:lineRule="auto"/>
        <w:ind w:left="567" w:hanging="283"/>
        <w:jc w:val="both"/>
        <w:rPr>
          <w:rFonts w:cs="Times New Roman"/>
          <w:color w:val="000000" w:themeColor="text1"/>
          <w:szCs w:val="24"/>
        </w:rPr>
      </w:pPr>
      <w:r w:rsidRPr="00D77440">
        <w:rPr>
          <w:rFonts w:cs="Times New Roman"/>
          <w:color w:val="000000" w:themeColor="text1"/>
          <w:szCs w:val="24"/>
        </w:rPr>
        <w:t>opatření (</w:t>
      </w:r>
      <w:proofErr w:type="spellStart"/>
      <w:r w:rsidRPr="00D77440">
        <w:rPr>
          <w:rFonts w:cs="Times New Roman"/>
          <w:color w:val="000000" w:themeColor="text1"/>
          <w:szCs w:val="24"/>
        </w:rPr>
        <w:t>countermeasure</w:t>
      </w:r>
      <w:proofErr w:type="spellEnd"/>
      <w:r w:rsidRPr="00D77440">
        <w:rPr>
          <w:rFonts w:cs="Times New Roman"/>
          <w:color w:val="000000" w:themeColor="text1"/>
          <w:szCs w:val="24"/>
        </w:rPr>
        <w:t>) – technické nebo organizační opatření, které snižuje zranitelnost a chrání aktivum před danou hrozbou</w:t>
      </w:r>
      <w:r w:rsidR="00615FBF">
        <w:rPr>
          <w:rFonts w:cs="Times New Roman"/>
          <w:color w:val="000000" w:themeColor="text1"/>
          <w:szCs w:val="24"/>
        </w:rPr>
        <w:t>;</w:t>
      </w:r>
    </w:p>
    <w:p w:rsidR="002955B6" w:rsidRPr="00D77440" w:rsidRDefault="002955B6" w:rsidP="00615FBF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440">
        <w:rPr>
          <w:rFonts w:ascii="Times New Roman" w:eastAsia="Times New Roman" w:hAnsi="Times New Roman" w:cs="Times New Roman"/>
          <w:sz w:val="24"/>
          <w:szCs w:val="24"/>
          <w:lang w:eastAsia="en-US"/>
        </w:rPr>
        <w:t>Zpracovatel určil primární aktiva v kontextu problematiky GDPR na základě úvodního sběru informací a jejich vyhodnocení.</w:t>
      </w:r>
    </w:p>
    <w:p w:rsidR="002955B6" w:rsidRPr="00D77440" w:rsidRDefault="002955B6" w:rsidP="00615FBF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440">
        <w:rPr>
          <w:rFonts w:ascii="Times New Roman" w:eastAsia="Times New Roman" w:hAnsi="Times New Roman" w:cs="Times New Roman"/>
          <w:sz w:val="24"/>
          <w:szCs w:val="24"/>
          <w:lang w:eastAsia="en-US"/>
        </w:rPr>
        <w:t>Klíčovým krokem posouzení rizik, která primárním aktivům hrozí, je ohodnocení samotných primárních aktiv. To je provedeno posouzením požadavků na důvěrnost, integritu a</w:t>
      </w:r>
      <w:r w:rsidR="00615FBF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D77440">
        <w:rPr>
          <w:rFonts w:ascii="Times New Roman" w:eastAsia="Times New Roman" w:hAnsi="Times New Roman" w:cs="Times New Roman"/>
          <w:sz w:val="24"/>
          <w:szCs w:val="24"/>
          <w:lang w:eastAsia="en-US"/>
        </w:rPr>
        <w:t>dostupnost aktiv, případně dat v aktivech obsažených a služeb aktivy poskytovaných.</w:t>
      </w:r>
    </w:p>
    <w:p w:rsidR="002955B6" w:rsidRPr="00D77440" w:rsidRDefault="002955B6" w:rsidP="00615FBF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4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Jelikož </w:t>
      </w:r>
      <w:r w:rsidR="00615FBF">
        <w:rPr>
          <w:rFonts w:ascii="Times New Roman" w:eastAsia="Times New Roman" w:hAnsi="Times New Roman" w:cs="Times New Roman"/>
          <w:sz w:val="24"/>
          <w:szCs w:val="24"/>
          <w:lang w:eastAsia="en-US"/>
        </w:rPr>
        <w:t>organizace</w:t>
      </w:r>
      <w:r w:rsidRPr="00D774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nemá zavedený registr aktiv, který by obsahoval skutečné hodnoty těchto aktiv, byla Zpracovatelem vytvořena následující stupnice hodnoty primárních aktiv, která vyjadřuje, nakolik jsou tato primární aktiva pro Objednatele kritická:</w:t>
      </w:r>
    </w:p>
    <w:p w:rsidR="002955B6" w:rsidRPr="00615FBF" w:rsidRDefault="00615FBF" w:rsidP="00615FBF">
      <w:pPr>
        <w:pStyle w:val="Titulek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en-US"/>
        </w:rPr>
      </w:pPr>
      <w:r w:rsidRPr="00615FBF">
        <w:rPr>
          <w:rFonts w:ascii="Times New Roman" w:hAnsi="Times New Roman" w:cs="Times New Roman"/>
          <w:color w:val="auto"/>
          <w:sz w:val="20"/>
          <w:szCs w:val="20"/>
        </w:rPr>
        <w:t xml:space="preserve">Tabulka </w:t>
      </w:r>
      <w:r w:rsidRPr="00615FBF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615FBF">
        <w:rPr>
          <w:rFonts w:ascii="Times New Roman" w:hAnsi="Times New Roman" w:cs="Times New Roman"/>
          <w:color w:val="auto"/>
          <w:sz w:val="20"/>
          <w:szCs w:val="20"/>
        </w:rPr>
        <w:instrText xml:space="preserve"> SEQ Tabulka \* ARABIC </w:instrText>
      </w:r>
      <w:r w:rsidRPr="00615FBF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10561C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615FB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615FBF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955B6" w:rsidRPr="00615FB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Stupnice hodnocení aktiv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23"/>
        <w:gridCol w:w="1252"/>
        <w:gridCol w:w="6913"/>
      </w:tblGrid>
      <w:tr w:rsidR="002955B6" w:rsidRPr="00D77440" w:rsidTr="005F7BDB">
        <w:trPr>
          <w:tblHeader/>
        </w:trPr>
        <w:tc>
          <w:tcPr>
            <w:tcW w:w="1150" w:type="dxa"/>
          </w:tcPr>
          <w:p w:rsidR="002955B6" w:rsidRPr="00D77440" w:rsidRDefault="002955B6" w:rsidP="00615FBF">
            <w:pPr>
              <w:spacing w:before="20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7744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Stupeň</w:t>
            </w:r>
          </w:p>
        </w:tc>
        <w:tc>
          <w:tcPr>
            <w:tcW w:w="1273" w:type="dxa"/>
          </w:tcPr>
          <w:p w:rsidR="002955B6" w:rsidRPr="00D77440" w:rsidRDefault="002955B6" w:rsidP="00615FBF">
            <w:pPr>
              <w:spacing w:before="20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7744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Hodnota</w:t>
            </w:r>
          </w:p>
        </w:tc>
        <w:tc>
          <w:tcPr>
            <w:tcW w:w="7639" w:type="dxa"/>
          </w:tcPr>
          <w:p w:rsidR="002955B6" w:rsidRPr="00D77440" w:rsidRDefault="002955B6" w:rsidP="00615FBF">
            <w:pPr>
              <w:spacing w:before="20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7744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Kritérium</w:t>
            </w:r>
          </w:p>
        </w:tc>
      </w:tr>
      <w:tr w:rsidR="002955B6" w:rsidRPr="00D77440" w:rsidTr="0010561C">
        <w:trPr>
          <w:trHeight w:val="520"/>
        </w:trPr>
        <w:tc>
          <w:tcPr>
            <w:tcW w:w="1150" w:type="dxa"/>
          </w:tcPr>
          <w:p w:rsidR="002955B6" w:rsidRPr="00615FBF" w:rsidRDefault="002955B6" w:rsidP="00615FBF">
            <w:pPr>
              <w:spacing w:before="200"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273" w:type="dxa"/>
          </w:tcPr>
          <w:p w:rsidR="002955B6" w:rsidRPr="00615FBF" w:rsidRDefault="002955B6" w:rsidP="00615FBF">
            <w:pPr>
              <w:spacing w:before="200" w:after="0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Velmi nízká</w:t>
            </w:r>
          </w:p>
        </w:tc>
        <w:tc>
          <w:tcPr>
            <w:tcW w:w="7639" w:type="dxa"/>
          </w:tcPr>
          <w:p w:rsidR="002955B6" w:rsidRPr="00615FBF" w:rsidRDefault="002955B6" w:rsidP="00800620">
            <w:pPr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Ztráta, poškození, narušení bezpečnosti primárního aktiva má jen nepatrný nebo žádný vliv na ochranu osobních údajů v rámci organizace Objednatele.</w:t>
            </w:r>
          </w:p>
        </w:tc>
      </w:tr>
      <w:tr w:rsidR="002955B6" w:rsidRPr="00D77440" w:rsidTr="005F7BDB">
        <w:tc>
          <w:tcPr>
            <w:tcW w:w="1150" w:type="dxa"/>
          </w:tcPr>
          <w:p w:rsidR="002955B6" w:rsidRPr="00615FBF" w:rsidRDefault="002955B6" w:rsidP="00615FBF">
            <w:pPr>
              <w:spacing w:before="200"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273" w:type="dxa"/>
          </w:tcPr>
          <w:p w:rsidR="002955B6" w:rsidRPr="00615FBF" w:rsidRDefault="002955B6" w:rsidP="00615FBF">
            <w:pPr>
              <w:spacing w:before="200" w:after="0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Nízká</w:t>
            </w:r>
          </w:p>
        </w:tc>
        <w:tc>
          <w:tcPr>
            <w:tcW w:w="7639" w:type="dxa"/>
          </w:tcPr>
          <w:p w:rsidR="002955B6" w:rsidRPr="00615FBF" w:rsidRDefault="002955B6" w:rsidP="00800620">
            <w:pPr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Ztráta, poškození, narušení bezpečnosti primárního aktiva má nízký dopad na zákonné povinnosti Objednatele v rámci ochrany osobních údajů. Narušením primárního aktiva nedojde k uplatnění sankcí v rámci Nařízení Evropského parlamentu a Rady EU 2016/679.</w:t>
            </w:r>
          </w:p>
        </w:tc>
      </w:tr>
      <w:tr w:rsidR="002955B6" w:rsidRPr="00D77440" w:rsidTr="005F7BDB">
        <w:tc>
          <w:tcPr>
            <w:tcW w:w="1150" w:type="dxa"/>
          </w:tcPr>
          <w:p w:rsidR="002955B6" w:rsidRPr="00615FBF" w:rsidRDefault="002955B6" w:rsidP="00615FBF">
            <w:pPr>
              <w:spacing w:before="200"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273" w:type="dxa"/>
          </w:tcPr>
          <w:p w:rsidR="002955B6" w:rsidRPr="00615FBF" w:rsidRDefault="002955B6" w:rsidP="00615FBF">
            <w:pPr>
              <w:spacing w:before="200" w:after="0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Střední</w:t>
            </w:r>
          </w:p>
        </w:tc>
        <w:tc>
          <w:tcPr>
            <w:tcW w:w="7639" w:type="dxa"/>
          </w:tcPr>
          <w:p w:rsidR="002955B6" w:rsidRPr="00615FBF" w:rsidRDefault="002955B6" w:rsidP="00800620">
            <w:pPr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Ztráta, poškození, narušení bezpečnosti primárního aktiva má střední dopad na zákonné povinnosti Objednatele v rámci ochrany osobních údajů. Narušením primárního aktiva nedojde k uplatnění sankcí v rámci Nařízení Evropského parlamentu a Rady EU 2016/679. Porušení zákonných povinností nebude mít zásadní vliv na fungování organizace Objednatele jako celku.</w:t>
            </w:r>
          </w:p>
        </w:tc>
      </w:tr>
      <w:tr w:rsidR="002955B6" w:rsidRPr="00D77440" w:rsidTr="005F7BDB">
        <w:tc>
          <w:tcPr>
            <w:tcW w:w="1150" w:type="dxa"/>
          </w:tcPr>
          <w:p w:rsidR="002955B6" w:rsidRPr="00615FBF" w:rsidRDefault="002955B6" w:rsidP="00615FBF">
            <w:pPr>
              <w:spacing w:before="200"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273" w:type="dxa"/>
          </w:tcPr>
          <w:p w:rsidR="002955B6" w:rsidRPr="00615FBF" w:rsidRDefault="002955B6" w:rsidP="00615FBF">
            <w:pPr>
              <w:spacing w:before="200" w:after="0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Vysoká</w:t>
            </w:r>
          </w:p>
        </w:tc>
        <w:tc>
          <w:tcPr>
            <w:tcW w:w="7639" w:type="dxa"/>
          </w:tcPr>
          <w:p w:rsidR="002955B6" w:rsidRPr="00615FBF" w:rsidRDefault="002955B6" w:rsidP="00800620">
            <w:pPr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Ztráta, poškození, narušení bezpečnosti primárního aktiva je velmi významná, může vést k neakceptovatelnému porušení zákonných požadavků v rámci ochrany osobních údajů. Narušením primárního aktiva pravděpodobně dojde k uplatnění sankcí v rámci Nařízení Evropského parlamentu a Rady EU 2016/679. Porušení zákonných povinností bude mít vliv na fungování organizace Objednatele jako celku.</w:t>
            </w:r>
          </w:p>
        </w:tc>
      </w:tr>
      <w:tr w:rsidR="002955B6" w:rsidRPr="00D77440" w:rsidTr="005F7BDB">
        <w:tc>
          <w:tcPr>
            <w:tcW w:w="1150" w:type="dxa"/>
          </w:tcPr>
          <w:p w:rsidR="002955B6" w:rsidRPr="00615FBF" w:rsidRDefault="002955B6" w:rsidP="00615FBF">
            <w:pPr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273" w:type="dxa"/>
          </w:tcPr>
          <w:p w:rsidR="002955B6" w:rsidRPr="00615FBF" w:rsidRDefault="002955B6" w:rsidP="00615FBF">
            <w:pPr>
              <w:spacing w:before="200" w:after="0" w:line="360" w:lineRule="auto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>Velmi vysoká</w:t>
            </w:r>
          </w:p>
        </w:tc>
        <w:tc>
          <w:tcPr>
            <w:tcW w:w="7639" w:type="dxa"/>
          </w:tcPr>
          <w:p w:rsidR="002955B6" w:rsidRPr="00615FBF" w:rsidRDefault="002955B6" w:rsidP="00800620">
            <w:pPr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615FBF">
              <w:rPr>
                <w:rFonts w:ascii="Times New Roman" w:eastAsia="Times New Roman" w:hAnsi="Times New Roman"/>
                <w:lang w:eastAsia="en-US"/>
              </w:rPr>
              <w:t xml:space="preserve">Ztráta, poškození, narušení bezpečnosti primárního aktiva je katastrofická, může vést neakceptovatelnému porušení zákonných povinností ohledně ochrany osobních údajů vyplývajících z Nařízení Evropského parlamentu a Rady EU 2016/679. Narušením primárního aktiva dojde k uplatnění sankcí v rámci Nařízení Evropského parlamentu a Rady EU 2016/679. Porušení zákonných povinností bude mít zásadní vliv na fungování organizace Objednatele jako celku. </w:t>
            </w:r>
          </w:p>
        </w:tc>
      </w:tr>
    </w:tbl>
    <w:p w:rsidR="002955B6" w:rsidRPr="00D77440" w:rsidRDefault="002955B6" w:rsidP="00615FBF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44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Kvalifikace aktiv byla provedena na základě expertního posouzení Zpracovatelem, jelikož přesná hodnota aktiv pro organizaci nebyla stanovena. Tuto metriku je vhodné následně zavést a zařadit ji do pravidelného hodnocení v rámci organizace.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5B6" w:rsidRPr="00D77440" w:rsidTr="005F7BDB">
        <w:trPr>
          <w:trHeight w:val="4275"/>
        </w:trPr>
        <w:tc>
          <w:tcPr>
            <w:tcW w:w="9062" w:type="dxa"/>
            <w:hideMark/>
          </w:tcPr>
          <w:p w:rsidR="002955B6" w:rsidRPr="00D77440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D77440">
              <w:rPr>
                <w:rFonts w:cs="Times New Roman"/>
                <w:b/>
                <w:color w:val="000000" w:themeColor="text1"/>
              </w:rPr>
              <w:t>Hrozby a identifikace pravděpodobnosti hrozeb</w:t>
            </w:r>
          </w:p>
          <w:p w:rsidR="002955B6" w:rsidRPr="00D77440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D77440">
              <w:rPr>
                <w:rFonts w:cs="Times New Roman"/>
                <w:color w:val="000000" w:themeColor="text1"/>
              </w:rPr>
              <w:t>Prvním krokem hodnocení rizik je identifikace hrozeb a zranitelností. Východiskem tohoto hodnocení je seznam obvyklých hrozeb dle standardů a hrozeb týkající se ochrany osobních údajů vycházejících z Nařízení Evropského parlamentu a Rady EU 2016/679 či vycházející z dané problematiky.</w:t>
            </w:r>
          </w:p>
          <w:p w:rsidR="002955B6" w:rsidRPr="00D77440" w:rsidRDefault="002955B6" w:rsidP="0010561C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D77440">
              <w:rPr>
                <w:rFonts w:cs="Times New Roman"/>
                <w:color w:val="000000" w:themeColor="text1"/>
              </w:rPr>
              <w:t>Hrozba představuje vliv, jehož následkem je poškození analyzovaného systému IT a jeho aktiv. Cílem je identifikovat hrozby, kterým mohou být vystavena primární aktiva Správce v jeho správě nebo využívaná v jeho činnosti a pravděpodobnosti výskytu této hrozby.</w:t>
            </w:r>
            <w:r w:rsidRPr="00D77440">
              <w:rPr>
                <w:rFonts w:cs="Times New Roman"/>
                <w:color w:val="000000" w:themeColor="text1"/>
              </w:rPr>
              <w:br/>
              <w:t>V následující tabulce jsou uvedeny hrozby, která jsou relevantní k posuzovaným primárním aktivům. Vždy je uvedena kategorie hrozeb a vysvětlení, co se pod jejich jednotným označením skrývá.</w:t>
            </w:r>
          </w:p>
        </w:tc>
      </w:tr>
    </w:tbl>
    <w:p w:rsidR="002955B6" w:rsidRPr="0010561C" w:rsidRDefault="0010561C" w:rsidP="0010561C">
      <w:pPr>
        <w:pStyle w:val="Titulek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en-US"/>
        </w:rPr>
      </w:pPr>
      <w:r w:rsidRPr="0010561C">
        <w:rPr>
          <w:rFonts w:ascii="Times New Roman" w:hAnsi="Times New Roman" w:cs="Times New Roman"/>
          <w:color w:val="auto"/>
          <w:sz w:val="20"/>
          <w:szCs w:val="20"/>
        </w:rPr>
        <w:t xml:space="preserve">Tabulka </w: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instrText xml:space="preserve"> SEQ Tabulka \* ARABIC </w:instrTex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0"/>
          <w:szCs w:val="20"/>
        </w:rPr>
        <w:t>2</w: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2955B6" w:rsidRPr="0010561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Popis hrozeb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2955B6" w:rsidRPr="0010561C" w:rsidTr="005F7BDB">
        <w:trPr>
          <w:trHeight w:val="300"/>
        </w:trPr>
        <w:tc>
          <w:tcPr>
            <w:tcW w:w="1826" w:type="dxa"/>
            <w:hideMark/>
          </w:tcPr>
          <w:p w:rsidR="002955B6" w:rsidRPr="0010561C" w:rsidRDefault="002955B6" w:rsidP="00800620">
            <w:pPr>
              <w:pStyle w:val="NormTEXT"/>
              <w:spacing w:before="0" w:after="0" w:line="360" w:lineRule="auto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Hrozby</w:t>
            </w:r>
            <w:r w:rsidR="00800620">
              <w:rPr>
                <w:rFonts w:cs="Times New Roman"/>
                <w:b/>
                <w:bCs/>
                <w:color w:val="000000" w:themeColor="text1"/>
                <w:sz w:val="20"/>
              </w:rPr>
              <w:t xml:space="preserve">, </w:t>
            </w: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kategorie</w:t>
            </w:r>
          </w:p>
        </w:tc>
        <w:tc>
          <w:tcPr>
            <w:tcW w:w="723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Popis</w:t>
            </w:r>
          </w:p>
        </w:tc>
      </w:tr>
      <w:tr w:rsidR="002955B6" w:rsidRPr="0010561C" w:rsidTr="005F7BDB">
        <w:trPr>
          <w:trHeight w:val="630"/>
        </w:trPr>
        <w:tc>
          <w:tcPr>
            <w:tcW w:w="1826" w:type="dxa"/>
            <w:vMerge w:val="restart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Vnější útoky</w:t>
            </w:r>
          </w:p>
        </w:tc>
        <w:tc>
          <w:tcPr>
            <w:tcW w:w="7236" w:type="dxa"/>
            <w:vMerge w:val="restart"/>
            <w:hideMark/>
          </w:tcPr>
          <w:p w:rsidR="002955B6" w:rsidRPr="0010561C" w:rsidRDefault="002955B6" w:rsidP="005F7BDB">
            <w:pPr>
              <w:pStyle w:val="NormTEXT"/>
              <w:spacing w:before="0" w:after="0" w:line="360" w:lineRule="auto"/>
              <w:ind w:left="159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Zneužití přístupu k PC s možností neautorizovaného přístupu k OÚ nebo diskreditace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Zneužití přístupu k počítačové síti s možností neautorizovaného přístupu k OÚ nebo diskreditace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Krádež nebo prolomení hesla do IS nebo aplikace s možností neautorizovaného přístupu k OÚ nebo diskreditace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Útok na IS nebo aplikace s cílem diskreditace či zcizení OÚ nebo omezení funkčnosti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Útok na web s možností zcizení nebo modifikace OÚ, která jsou na webové prezentaci uvedeny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Cílený útok na OÚ s motivem jejich odcizení a neoprávněného užití s možností cílené diskreditace organizace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referenčních OÚ v aplikacích nebo IS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Fyzické zcizení nebo poškození primárního aktiva včetně listinných evidencí s osobními daty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Průnik z vnější sítě do vnitřní sítě (prolomení perimetru) s cílem zcizení nebo kompromitace OÚ uložených v IS nebo aplikacích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 xml:space="preserve">Kompromitace dohledových prostředků nebo prostředků ke sledování a monitorování </w:t>
            </w:r>
            <w:r w:rsidRPr="0010561C">
              <w:rPr>
                <w:rFonts w:cs="Times New Roman"/>
                <w:color w:val="000000" w:themeColor="text1"/>
                <w:sz w:val="20"/>
              </w:rPr>
              <w:lastRenderedPageBreak/>
              <w:t>přístupu k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Kompromitace identity oprávněného uživatele Správce nebo Zpracovatele.</w:t>
            </w:r>
          </w:p>
        </w:tc>
      </w:tr>
      <w:tr w:rsidR="002955B6" w:rsidRPr="00D77440" w:rsidTr="005F7BDB">
        <w:trPr>
          <w:trHeight w:val="705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870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75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bottom w:val="single" w:sz="4" w:space="0" w:color="auto"/>
            </w:tcBorders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534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lastRenderedPageBreak/>
              <w:t>Technické chyby</w:t>
            </w:r>
          </w:p>
        </w:tc>
        <w:tc>
          <w:tcPr>
            <w:tcW w:w="7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800620">
            <w:pPr>
              <w:pStyle w:val="NormTEXT"/>
              <w:spacing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Chyby zálohování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Výpadek elektřiny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Výpadek hardwaru koncové stanice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Výpadek softwaru koncové stanice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Poškození nebo ztráta dat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Mechanické poškození listinné evidence osobních údajů</w:t>
            </w:r>
            <w:r w:rsidR="00800620">
              <w:rPr>
                <w:rFonts w:cs="Times New Roman"/>
                <w:color w:val="000000" w:themeColor="text1"/>
                <w:sz w:val="20"/>
              </w:rPr>
              <w:t xml:space="preserve"> (požár, voda)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řádné čitelnosti listinné evidence osobních údajů</w:t>
            </w:r>
            <w:r w:rsidR="00800620">
              <w:rPr>
                <w:rFonts w:cs="Times New Roman"/>
                <w:color w:val="000000" w:themeColor="text1"/>
                <w:sz w:val="20"/>
              </w:rPr>
              <w:t xml:space="preserve"> (požár, voda, slunce)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Poškození/selhání programového vybavení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Nedostatečná ochrana vnějšího perimetru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Nedostatečná údržba informačního systému nebo aplikace, kde jsou evidovány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Nedostatečné postupy při identifikaci a odhalení incidentů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Dlouhodobé přerušení podpory dodavatele SW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Nedostatečná ochrana prostředků IS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Technické chyby ochrany úložišť listin obsahující OÚ</w:t>
            </w: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800620">
        <w:trPr>
          <w:trHeight w:val="585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534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Lidský faktor</w:t>
            </w:r>
          </w:p>
        </w:tc>
        <w:tc>
          <w:tcPr>
            <w:tcW w:w="7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Obecná chyba uživatele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Opomenutí uživatele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Nedostatečné školení nebo povědomí o nakládání s OÚ nebo jejich ochraně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Zkoušení prolomení zabezpečení uživatelem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Poškození fyzické vrstvy sítě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Zavlečení škodlivého SW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Porušení bezpečnostní politiky uživatelem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Zneužití oprávnění ze strany uživatelů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Zneužití oprávnění ze strany administrátorů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fyzické bezpečnosti – kancelář, serverovna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Nepřítomnost/zranění/smrt administrátora informačního systému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Nedostatečné vymezení bezpečnostních pravidel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Nedostatečná míra nezávislé kontroly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Nedostatečná ochrana úložišť listin obsahující OÚ</w:t>
            </w: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654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10561C">
        <w:trPr>
          <w:trHeight w:val="534"/>
        </w:trPr>
        <w:tc>
          <w:tcPr>
            <w:tcW w:w="1826" w:type="dxa"/>
            <w:vMerge w:val="restart"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 xml:space="preserve">Narušení integrity </w:t>
            </w:r>
            <w:r w:rsidRPr="0010561C">
              <w:rPr>
                <w:rFonts w:cs="Times New Roman"/>
                <w:color w:val="000000" w:themeColor="text1"/>
                <w:sz w:val="20"/>
              </w:rPr>
              <w:lastRenderedPageBreak/>
              <w:t>OÚ</w:t>
            </w:r>
          </w:p>
        </w:tc>
        <w:tc>
          <w:tcPr>
            <w:tcW w:w="7236" w:type="dxa"/>
            <w:vMerge w:val="restart"/>
            <w:tcBorders>
              <w:top w:val="single" w:sz="4" w:space="0" w:color="auto"/>
            </w:tcBorders>
            <w:hideMark/>
          </w:tcPr>
          <w:p w:rsidR="002955B6" w:rsidRPr="0010561C" w:rsidRDefault="002955B6" w:rsidP="00800620">
            <w:pPr>
              <w:pStyle w:val="NormTEXT"/>
              <w:spacing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lastRenderedPageBreak/>
              <w:t xml:space="preserve">Neoprávněné manipulování evidencemi OÚ na úrovni IS nebo aplikací pod správou </w:t>
            </w:r>
            <w:r w:rsidRPr="0010561C">
              <w:rPr>
                <w:rFonts w:cs="Times New Roman"/>
                <w:color w:val="000000" w:themeColor="text1"/>
                <w:sz w:val="20"/>
              </w:rPr>
              <w:lastRenderedPageBreak/>
              <w:t>Správce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Neoprávněné manipulování s listinnými evidencemi obsahující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Provedení neoprávněných činností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Zneužití vedených osobních údajů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Nevhodné či nesprávné nastavení přístupových oprávnění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Fyzické narušení listiny obsahující OÚ</w:t>
            </w: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800620">
        <w:trPr>
          <w:trHeight w:val="585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534"/>
        </w:trPr>
        <w:tc>
          <w:tcPr>
            <w:tcW w:w="1826" w:type="dxa"/>
            <w:vMerge w:val="restart"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Neoprávněný přístup</w:t>
            </w:r>
          </w:p>
        </w:tc>
        <w:tc>
          <w:tcPr>
            <w:tcW w:w="7236" w:type="dxa"/>
            <w:vMerge w:val="restart"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K OÚ má přístup osoba, která k danému úkonu nemá oprávnění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Modifikace vedených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Nedostatečné monitorování činnosti uživatelů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Nedostatečné monitorování činnosti administrátorů</w:t>
            </w: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654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7D06CE">
        <w:trPr>
          <w:trHeight w:val="585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534"/>
        </w:trPr>
        <w:tc>
          <w:tcPr>
            <w:tcW w:w="1826" w:type="dxa"/>
            <w:vMerge w:val="restart"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Narušení dostupnosti</w:t>
            </w:r>
          </w:p>
        </w:tc>
        <w:tc>
          <w:tcPr>
            <w:tcW w:w="7236" w:type="dxa"/>
            <w:vMerge w:val="restart"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Nedostupnost osobních údajů z důvodu pochybení organizačního charakteru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Nedostupnost osobních údajů z důvodu technického pochybení</w:t>
            </w:r>
          </w:p>
        </w:tc>
      </w:tr>
      <w:tr w:rsidR="002955B6" w:rsidRPr="00D77440" w:rsidTr="00800620">
        <w:trPr>
          <w:trHeight w:val="585"/>
        </w:trPr>
        <w:tc>
          <w:tcPr>
            <w:tcW w:w="182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7236" w:type="dxa"/>
            <w:vMerge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955B6" w:rsidRPr="00D77440" w:rsidTr="005F7BDB">
        <w:trPr>
          <w:trHeight w:val="517"/>
        </w:trPr>
        <w:tc>
          <w:tcPr>
            <w:tcW w:w="1826" w:type="dxa"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Ztráta osobních údajů</w:t>
            </w:r>
          </w:p>
        </w:tc>
        <w:tc>
          <w:tcPr>
            <w:tcW w:w="7236" w:type="dxa"/>
          </w:tcPr>
          <w:p w:rsidR="002955B6" w:rsidRPr="0010561C" w:rsidRDefault="002955B6" w:rsidP="00615FBF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Nevhodná manipulace s listinnou evidencí obsahující OÚ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Technické chyby v IS uchovávající osobní údaje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Úmyslné zcizení OÚ v listinné podobě z listinné evidence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Úmyslný export OÚ z IS nebo aplikací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Výmaz OÚ z IS nebo aplikací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Předání listinné evidence OÚ neautorizované osobě bez udání důvodu a bez dostatečné evidence a povinnosti navrátit předané OÚ</w:t>
            </w:r>
          </w:p>
        </w:tc>
      </w:tr>
      <w:tr w:rsidR="002955B6" w:rsidRPr="00D77440" w:rsidTr="005F7BDB">
        <w:trPr>
          <w:trHeight w:val="517"/>
        </w:trPr>
        <w:tc>
          <w:tcPr>
            <w:tcW w:w="1826" w:type="dxa"/>
            <w:hideMark/>
          </w:tcPr>
          <w:p w:rsidR="002955B6" w:rsidRPr="0010561C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Narušení práv a svobod subjektu údajů</w:t>
            </w:r>
          </w:p>
        </w:tc>
        <w:tc>
          <w:tcPr>
            <w:tcW w:w="7236" w:type="dxa"/>
            <w:hideMark/>
          </w:tcPr>
          <w:p w:rsidR="002955B6" w:rsidRPr="0010561C" w:rsidRDefault="002955B6" w:rsidP="0010561C">
            <w:pPr>
              <w:pStyle w:val="NormTEXT"/>
              <w:spacing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Narušení práva na soukromí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práva na ochranu cti a důstojnosti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práva na informační sebeurčení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práva na život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práva na duševní a tělesnou integritu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práva na informace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práva na ochranu osobních údajů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Úmyslná kompromitace osobních údajů třetím subjektem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zákazu diskriminace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Narušení ochrany identity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Hmotné ztráty subjektu údajů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 xml:space="preserve">Neoprávněné zrušení </w:t>
            </w:r>
            <w:proofErr w:type="spellStart"/>
            <w:r w:rsidRPr="0010561C">
              <w:rPr>
                <w:rFonts w:cs="Times New Roman"/>
                <w:color w:val="000000" w:themeColor="text1"/>
                <w:sz w:val="20"/>
              </w:rPr>
              <w:t>pseudonymizace</w:t>
            </w:r>
            <w:proofErr w:type="spellEnd"/>
          </w:p>
        </w:tc>
      </w:tr>
    </w:tbl>
    <w:p w:rsidR="002955B6" w:rsidRDefault="002955B6" w:rsidP="00615FBF">
      <w:pPr>
        <w:spacing w:line="360" w:lineRule="auto"/>
        <w:rPr>
          <w:rFonts w:ascii="Times New Roman" w:hAnsi="Times New Roman" w:cs="Times New Roman"/>
        </w:rPr>
      </w:pPr>
    </w:p>
    <w:p w:rsidR="002955B6" w:rsidRPr="0010561C" w:rsidRDefault="0010561C" w:rsidP="0010561C">
      <w:pPr>
        <w:pStyle w:val="Titulek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10561C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Tabulka </w: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instrText xml:space="preserve"> SEQ Tabulka \* ARABIC </w:instrTex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0"/>
          <w:szCs w:val="20"/>
        </w:rPr>
        <w:t>3</w: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955B6" w:rsidRPr="0010561C">
        <w:rPr>
          <w:rFonts w:ascii="Times New Roman" w:hAnsi="Times New Roman" w:cs="Times New Roman"/>
          <w:color w:val="auto"/>
          <w:sz w:val="20"/>
          <w:szCs w:val="20"/>
        </w:rPr>
        <w:t xml:space="preserve"> Stupnice hodnocení pravděpodobnosti hrozby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519"/>
        <w:gridCol w:w="5651"/>
      </w:tblGrid>
      <w:tr w:rsidR="002955B6" w:rsidRPr="0010561C" w:rsidTr="0010561C">
        <w:trPr>
          <w:trHeight w:val="260"/>
        </w:trPr>
        <w:tc>
          <w:tcPr>
            <w:tcW w:w="180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Stupeň</w:t>
            </w:r>
          </w:p>
        </w:tc>
        <w:tc>
          <w:tcPr>
            <w:tcW w:w="151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Četnost výskytu</w:t>
            </w:r>
          </w:p>
        </w:tc>
        <w:tc>
          <w:tcPr>
            <w:tcW w:w="5651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Kritérium</w:t>
            </w:r>
          </w:p>
        </w:tc>
      </w:tr>
      <w:tr w:rsidR="002955B6" w:rsidRPr="0010561C" w:rsidTr="0010561C">
        <w:trPr>
          <w:trHeight w:val="260"/>
        </w:trPr>
        <w:tc>
          <w:tcPr>
            <w:tcW w:w="180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1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 xml:space="preserve">Velmi nízká </w:t>
            </w:r>
          </w:p>
        </w:tc>
        <w:tc>
          <w:tcPr>
            <w:tcW w:w="5651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Uplatnění hrozby je vysoce nepravděpodobné nebo</w:t>
            </w:r>
            <w:r w:rsidR="004B5165">
              <w:rPr>
                <w:rFonts w:cs="Times New Roman"/>
                <w:color w:val="000000" w:themeColor="text1"/>
                <w:sz w:val="20"/>
              </w:rPr>
              <w:t xml:space="preserve"> je pravděpodobnost</w:t>
            </w:r>
            <w:r w:rsidRPr="0010561C">
              <w:rPr>
                <w:rFonts w:cs="Times New Roman"/>
                <w:color w:val="000000" w:themeColor="text1"/>
                <w:sz w:val="20"/>
              </w:rPr>
              <w:t xml:space="preserve"> nulová.</w:t>
            </w:r>
          </w:p>
        </w:tc>
      </w:tr>
      <w:tr w:rsidR="002955B6" w:rsidRPr="0010561C" w:rsidTr="0010561C">
        <w:trPr>
          <w:trHeight w:val="519"/>
        </w:trPr>
        <w:tc>
          <w:tcPr>
            <w:tcW w:w="180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51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Nízká</w:t>
            </w:r>
          </w:p>
        </w:tc>
        <w:tc>
          <w:tcPr>
            <w:tcW w:w="5651" w:type="dxa"/>
            <w:hideMark/>
          </w:tcPr>
          <w:p w:rsidR="002955B6" w:rsidRPr="0010561C" w:rsidRDefault="002955B6" w:rsidP="00800620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Hrozba se může uplatnit méně než 1 x za rok, resp</w:t>
            </w:r>
            <w:r w:rsidR="00800620">
              <w:rPr>
                <w:rFonts w:cs="Times New Roman"/>
                <w:color w:val="000000" w:themeColor="text1"/>
                <w:sz w:val="20"/>
              </w:rPr>
              <w:t xml:space="preserve">ektive </w:t>
            </w:r>
            <w:r w:rsidRPr="0010561C">
              <w:rPr>
                <w:rFonts w:cs="Times New Roman"/>
                <w:color w:val="000000" w:themeColor="text1"/>
                <w:sz w:val="20"/>
              </w:rPr>
              <w:t>se</w:t>
            </w:r>
            <w:r w:rsidR="00800620">
              <w:rPr>
                <w:rFonts w:cs="Times New Roman"/>
                <w:color w:val="000000" w:themeColor="text1"/>
                <w:sz w:val="20"/>
              </w:rPr>
              <w:t xml:space="preserve"> uplatnila, </w:t>
            </w:r>
            <w:r w:rsidRPr="0010561C">
              <w:rPr>
                <w:rFonts w:cs="Times New Roman"/>
                <w:color w:val="000000" w:themeColor="text1"/>
                <w:sz w:val="20"/>
              </w:rPr>
              <w:t>nebo</w:t>
            </w:r>
            <w:r w:rsidR="00800620">
              <w:rPr>
                <w:rFonts w:cs="Times New Roman"/>
                <w:color w:val="000000" w:themeColor="text1"/>
                <w:sz w:val="20"/>
              </w:rPr>
              <w:t xml:space="preserve"> se může projevit v určitém</w:t>
            </w:r>
            <w:r w:rsidRPr="0010561C">
              <w:rPr>
                <w:rFonts w:cs="Times New Roman"/>
                <w:color w:val="000000" w:themeColor="text1"/>
                <w:sz w:val="20"/>
              </w:rPr>
              <w:t xml:space="preserve"> kritické</w:t>
            </w:r>
            <w:r w:rsidR="00800620">
              <w:rPr>
                <w:rFonts w:cs="Times New Roman"/>
                <w:color w:val="000000" w:themeColor="text1"/>
                <w:sz w:val="20"/>
              </w:rPr>
              <w:t>m</w:t>
            </w:r>
            <w:r w:rsidRPr="0010561C">
              <w:rPr>
                <w:rFonts w:cs="Times New Roman"/>
                <w:color w:val="000000" w:themeColor="text1"/>
                <w:sz w:val="20"/>
              </w:rPr>
              <w:t xml:space="preserve"> období.</w:t>
            </w:r>
          </w:p>
        </w:tc>
      </w:tr>
      <w:tr w:rsidR="002955B6" w:rsidRPr="0010561C" w:rsidTr="0010561C">
        <w:trPr>
          <w:trHeight w:val="519"/>
        </w:trPr>
        <w:tc>
          <w:tcPr>
            <w:tcW w:w="180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51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Střední</w:t>
            </w:r>
          </w:p>
        </w:tc>
        <w:tc>
          <w:tcPr>
            <w:tcW w:w="5651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Hrozba se může uplatnit zhruba 1x za rok, resp. hrozba se jednou uplatnila v průběhu kritického období.</w:t>
            </w:r>
          </w:p>
        </w:tc>
      </w:tr>
      <w:tr w:rsidR="002955B6" w:rsidRPr="0010561C" w:rsidTr="0010561C">
        <w:trPr>
          <w:trHeight w:val="519"/>
        </w:trPr>
        <w:tc>
          <w:tcPr>
            <w:tcW w:w="180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519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Vysoká</w:t>
            </w:r>
          </w:p>
        </w:tc>
        <w:tc>
          <w:tcPr>
            <w:tcW w:w="5651" w:type="dxa"/>
            <w:hideMark/>
          </w:tcPr>
          <w:p w:rsidR="002955B6" w:rsidRPr="0010561C" w:rsidRDefault="002955B6" w:rsidP="004B5165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Hrozba se může uplatnit zhruba 1x za měsíc, resp. hrozba se uplatnila více než 1x v kritickém období.</w:t>
            </w:r>
          </w:p>
        </w:tc>
      </w:tr>
      <w:tr w:rsidR="002955B6" w:rsidRPr="0010561C" w:rsidTr="0010561C">
        <w:trPr>
          <w:trHeight w:val="462"/>
        </w:trPr>
        <w:tc>
          <w:tcPr>
            <w:tcW w:w="1809" w:type="dxa"/>
            <w:vMerge w:val="restart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519" w:type="dxa"/>
            <w:vMerge w:val="restart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Velmi vysoká</w:t>
            </w:r>
          </w:p>
        </w:tc>
        <w:tc>
          <w:tcPr>
            <w:tcW w:w="5651" w:type="dxa"/>
            <w:vMerge w:val="restart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Hrozba se může uplatnit zhruba 1x týdně, resp. hrozba se uplatnila denně v kritickém období</w:t>
            </w:r>
          </w:p>
        </w:tc>
      </w:tr>
      <w:bookmarkEnd w:id="0"/>
      <w:tr w:rsidR="002955B6" w:rsidRPr="0010561C" w:rsidTr="0010561C">
        <w:trPr>
          <w:trHeight w:val="264"/>
        </w:trPr>
        <w:tc>
          <w:tcPr>
            <w:tcW w:w="1809" w:type="dxa"/>
            <w:vMerge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519" w:type="dxa"/>
            <w:vMerge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651" w:type="dxa"/>
            <w:vMerge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:rsidR="002955B6" w:rsidRPr="00D77440" w:rsidRDefault="002955B6" w:rsidP="00615FB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5B6" w:rsidRPr="00D77440" w:rsidTr="005F7BDB">
        <w:trPr>
          <w:trHeight w:val="1133"/>
        </w:trPr>
        <w:tc>
          <w:tcPr>
            <w:tcW w:w="9062" w:type="dxa"/>
            <w:hideMark/>
          </w:tcPr>
          <w:p w:rsidR="002955B6" w:rsidRPr="00D77440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D77440">
              <w:rPr>
                <w:rFonts w:cs="Times New Roman"/>
                <w:b/>
                <w:bCs/>
                <w:color w:val="000000" w:themeColor="text1"/>
              </w:rPr>
              <w:t>Identifikace zranitelnosti (rizikovosti)</w:t>
            </w:r>
          </w:p>
          <w:p w:rsidR="002955B6" w:rsidRPr="00D77440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D77440">
              <w:rPr>
                <w:rFonts w:cs="Times New Roman"/>
                <w:color w:val="000000" w:themeColor="text1"/>
              </w:rPr>
              <w:t>Odhad zranitelností zahrnuje slabá místa posuzovaných aktiv. Pro analýzu budou použita následující kritéria pro hodnocení zranitelností:</w:t>
            </w:r>
          </w:p>
        </w:tc>
      </w:tr>
    </w:tbl>
    <w:p w:rsidR="002955B6" w:rsidRDefault="002955B6" w:rsidP="00615FB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955B6" w:rsidRPr="0010561C" w:rsidRDefault="0010561C" w:rsidP="0010561C">
      <w:pPr>
        <w:pStyle w:val="Titulek"/>
        <w:rPr>
          <w:rFonts w:ascii="Times New Roman" w:hAnsi="Times New Roman" w:cs="Times New Roman"/>
          <w:color w:val="auto"/>
          <w:sz w:val="20"/>
          <w:szCs w:val="20"/>
        </w:rPr>
      </w:pPr>
      <w:r w:rsidRPr="0010561C">
        <w:rPr>
          <w:rFonts w:ascii="Times New Roman" w:hAnsi="Times New Roman" w:cs="Times New Roman"/>
          <w:color w:val="auto"/>
          <w:sz w:val="20"/>
          <w:szCs w:val="20"/>
        </w:rPr>
        <w:t xml:space="preserve">Tabulka </w: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instrText xml:space="preserve"> SEQ Tabulka \* ARABIC </w:instrTex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10561C">
        <w:rPr>
          <w:rFonts w:ascii="Times New Roman" w:hAnsi="Times New Roman" w:cs="Times New Roman"/>
          <w:noProof/>
          <w:color w:val="auto"/>
          <w:sz w:val="20"/>
          <w:szCs w:val="20"/>
        </w:rPr>
        <w:t>4</w:t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10561C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2955B6" w:rsidRPr="0010561C">
        <w:rPr>
          <w:rFonts w:ascii="Times New Roman" w:hAnsi="Times New Roman" w:cs="Times New Roman"/>
          <w:color w:val="auto"/>
          <w:sz w:val="20"/>
          <w:szCs w:val="20"/>
        </w:rPr>
        <w:t>Stupnice hodnocení zranitelnosti aktiv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6"/>
        <w:gridCol w:w="1533"/>
        <w:gridCol w:w="5703"/>
      </w:tblGrid>
      <w:tr w:rsidR="002955B6" w:rsidRPr="0010561C" w:rsidTr="005F7BDB">
        <w:trPr>
          <w:trHeight w:val="600"/>
        </w:trPr>
        <w:tc>
          <w:tcPr>
            <w:tcW w:w="182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Stupeň</w:t>
            </w:r>
          </w:p>
        </w:tc>
        <w:tc>
          <w:tcPr>
            <w:tcW w:w="153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Zranitelnost aktiva</w:t>
            </w:r>
          </w:p>
        </w:tc>
        <w:tc>
          <w:tcPr>
            <w:tcW w:w="570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t>Kritérium</w:t>
            </w:r>
          </w:p>
        </w:tc>
      </w:tr>
      <w:tr w:rsidR="002955B6" w:rsidRPr="0010561C" w:rsidTr="005F7BDB">
        <w:trPr>
          <w:trHeight w:val="300"/>
        </w:trPr>
        <w:tc>
          <w:tcPr>
            <w:tcW w:w="182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3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Velmi nízká</w:t>
            </w:r>
          </w:p>
        </w:tc>
        <w:tc>
          <w:tcPr>
            <w:tcW w:w="570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Hrozba se nemůže vůči aktivu uplatnit.</w:t>
            </w:r>
          </w:p>
        </w:tc>
      </w:tr>
      <w:tr w:rsidR="002955B6" w:rsidRPr="0010561C" w:rsidTr="005F7BDB">
        <w:trPr>
          <w:trHeight w:val="600"/>
        </w:trPr>
        <w:tc>
          <w:tcPr>
            <w:tcW w:w="182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53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Nízká</w:t>
            </w:r>
          </w:p>
        </w:tc>
        <w:tc>
          <w:tcPr>
            <w:tcW w:w="570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Aktivum je chráněno, resp. je odolné velmi dobře proti uplatnění hrozby.</w:t>
            </w:r>
          </w:p>
        </w:tc>
      </w:tr>
      <w:tr w:rsidR="002955B6" w:rsidRPr="0010561C" w:rsidTr="005F7BDB">
        <w:trPr>
          <w:trHeight w:val="600"/>
        </w:trPr>
        <w:tc>
          <w:tcPr>
            <w:tcW w:w="182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53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Střední</w:t>
            </w:r>
          </w:p>
        </w:tc>
        <w:tc>
          <w:tcPr>
            <w:tcW w:w="570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Aktivum je chráněno částečně</w:t>
            </w:r>
            <w:r w:rsidR="0010561C">
              <w:rPr>
                <w:rFonts w:cs="Times New Roman"/>
                <w:color w:val="000000" w:themeColor="text1"/>
                <w:sz w:val="20"/>
              </w:rPr>
              <w:t>,</w:t>
            </w:r>
            <w:r w:rsidRPr="0010561C">
              <w:rPr>
                <w:rFonts w:cs="Times New Roman"/>
                <w:color w:val="000000" w:themeColor="text1"/>
                <w:sz w:val="20"/>
              </w:rPr>
              <w:t xml:space="preserve"> resp</w:t>
            </w:r>
            <w:r w:rsidR="0010561C">
              <w:rPr>
                <w:rFonts w:cs="Times New Roman"/>
                <w:color w:val="000000" w:themeColor="text1"/>
                <w:sz w:val="20"/>
              </w:rPr>
              <w:t>ektive</w:t>
            </w:r>
            <w:r w:rsidRPr="0010561C">
              <w:rPr>
                <w:rFonts w:cs="Times New Roman"/>
                <w:color w:val="000000" w:themeColor="text1"/>
                <w:sz w:val="20"/>
              </w:rPr>
              <w:t xml:space="preserve"> je mírně odolné proti uplatnění hrozby.</w:t>
            </w:r>
          </w:p>
        </w:tc>
      </w:tr>
      <w:tr w:rsidR="002955B6" w:rsidRPr="0010561C" w:rsidTr="005F7BDB">
        <w:trPr>
          <w:trHeight w:val="600"/>
        </w:trPr>
        <w:tc>
          <w:tcPr>
            <w:tcW w:w="182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53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Vysoká</w:t>
            </w:r>
          </w:p>
        </w:tc>
        <w:tc>
          <w:tcPr>
            <w:tcW w:w="570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Aktivum je chráněno, resp. je odolné velmi nedostatečně proti uplatnění hrozby.</w:t>
            </w:r>
          </w:p>
        </w:tc>
      </w:tr>
      <w:tr w:rsidR="002955B6" w:rsidRPr="0010561C" w:rsidTr="005F7BDB">
        <w:trPr>
          <w:trHeight w:val="300"/>
        </w:trPr>
        <w:tc>
          <w:tcPr>
            <w:tcW w:w="182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53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Velmi vysoká</w:t>
            </w:r>
          </w:p>
        </w:tc>
        <w:tc>
          <w:tcPr>
            <w:tcW w:w="5703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Aktivum není chráněno vůbec.</w:t>
            </w:r>
          </w:p>
        </w:tc>
      </w:tr>
    </w:tbl>
    <w:p w:rsidR="002955B6" w:rsidRPr="00D77440" w:rsidRDefault="002955B6" w:rsidP="00615FB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2955B6" w:rsidRPr="00D77440" w:rsidTr="005F7BDB">
        <w:trPr>
          <w:trHeight w:val="795"/>
        </w:trPr>
        <w:tc>
          <w:tcPr>
            <w:tcW w:w="9062" w:type="dxa"/>
            <w:gridSpan w:val="2"/>
            <w:hideMark/>
          </w:tcPr>
          <w:p w:rsidR="002955B6" w:rsidRPr="00D77440" w:rsidRDefault="002955B6" w:rsidP="00615FBF">
            <w:pPr>
              <w:pStyle w:val="NormTEXT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D77440">
              <w:rPr>
                <w:rFonts w:cs="Times New Roman"/>
                <w:color w:val="000000" w:themeColor="text1"/>
              </w:rPr>
              <w:t>Míra zranitelnosti a účinnost existujících ochranných opatření spolu úzce souvisí. Míra zranitelnosti určitou hrozbou je vlastností aktiva. Může být snížena jedině vhodným protiopatřením.</w:t>
            </w:r>
          </w:p>
        </w:tc>
      </w:tr>
      <w:tr w:rsidR="002955B6" w:rsidRPr="00D77440" w:rsidTr="005F7BDB">
        <w:trPr>
          <w:trHeight w:val="1545"/>
        </w:trPr>
        <w:tc>
          <w:tcPr>
            <w:tcW w:w="9062" w:type="dxa"/>
            <w:gridSpan w:val="2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bCs/>
                <w:color w:val="000000" w:themeColor="text1"/>
                <w:sz w:val="20"/>
              </w:rPr>
              <w:lastRenderedPageBreak/>
              <w:t>Celková míra rizika (riziková expozice)</w:t>
            </w:r>
          </w:p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Cílem identifikace míry rizika je zajištění optimálního výběru ochranných nebo nápravných opatření, která působí proti těmto rizikům.</w:t>
            </w:r>
          </w:p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Ohodnocení míry rizika se provádí jako kombinace (součin) tří hodnot:</w:t>
            </w:r>
          </w:p>
        </w:tc>
      </w:tr>
      <w:tr w:rsidR="002955B6" w:rsidRPr="00D77440" w:rsidTr="005F7BDB">
        <w:trPr>
          <w:trHeight w:val="1455"/>
        </w:trPr>
        <w:tc>
          <w:tcPr>
            <w:tcW w:w="1826" w:type="dxa"/>
            <w:noWrap/>
            <w:hideMark/>
          </w:tcPr>
          <w:p w:rsidR="002955B6" w:rsidRPr="00D77440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7236" w:type="dxa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 xml:space="preserve">Hodnota aktiva na stupnici velmi nízká, nízká, střední, vysoká, velmi vysoká. </w:t>
            </w:r>
            <w:r w:rsidRPr="0010561C">
              <w:rPr>
                <w:rFonts w:cs="Times New Roman"/>
                <w:color w:val="000000" w:themeColor="text1"/>
                <w:sz w:val="20"/>
              </w:rPr>
              <w:br/>
              <w:t>Pravděpodobnost hrozby na stupnici velmi nízká, nízká, střední, vysoká, velmi vysoká.</w:t>
            </w:r>
          </w:p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Zranitelnost na stupnici velmi nízká, nízká, střední, vysoká, velmi vysoká.</w:t>
            </w:r>
          </w:p>
        </w:tc>
      </w:tr>
      <w:tr w:rsidR="002955B6" w:rsidRPr="00D77440" w:rsidTr="0010561C">
        <w:trPr>
          <w:trHeight w:val="1502"/>
        </w:trPr>
        <w:tc>
          <w:tcPr>
            <w:tcW w:w="9062" w:type="dxa"/>
            <w:gridSpan w:val="2"/>
            <w:hideMark/>
          </w:tcPr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b/>
                <w:color w:val="000000" w:themeColor="text1"/>
                <w:sz w:val="20"/>
              </w:rPr>
            </w:pPr>
            <w:r w:rsidRPr="0010561C">
              <w:rPr>
                <w:rFonts w:cs="Times New Roman"/>
                <w:b/>
                <w:color w:val="000000" w:themeColor="text1"/>
                <w:sz w:val="20"/>
              </w:rPr>
              <w:t>Rizikové skóre se vypočítává podle níže uvedené rovnice:</w:t>
            </w:r>
          </w:p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 xml:space="preserve">Rizikové skóre = hodnota aktiva * pravděpodobnost * zranitelnost </w:t>
            </w:r>
          </w:p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 xml:space="preserve">Rizikové skóre se pohybuje v rozmezí 0–125 bodů. </w:t>
            </w:r>
          </w:p>
          <w:p w:rsidR="002955B6" w:rsidRPr="0010561C" w:rsidRDefault="002955B6" w:rsidP="0010561C">
            <w:pPr>
              <w:pStyle w:val="NormTEXT"/>
              <w:spacing w:before="0" w:after="0" w:line="360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10561C">
              <w:rPr>
                <w:rFonts w:cs="Times New Roman"/>
                <w:color w:val="000000" w:themeColor="text1"/>
                <w:sz w:val="20"/>
              </w:rPr>
              <w:t>Hranice akceptovatelného rizika je předmětem manažerského rozhodnutí na straně klienta.</w:t>
            </w:r>
          </w:p>
        </w:tc>
      </w:tr>
    </w:tbl>
    <w:p w:rsidR="005B4AEF" w:rsidRDefault="005B4AEF" w:rsidP="005B4A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4AEF" w:rsidRPr="005B4AEF" w:rsidRDefault="005B4AEF" w:rsidP="005B4AEF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B4AEF">
        <w:rPr>
          <w:rFonts w:ascii="Times New Roman" w:hAnsi="Times New Roman" w:cs="Times New Roman"/>
          <w:b/>
          <w:color w:val="FF0000"/>
          <w:sz w:val="20"/>
          <w:szCs w:val="20"/>
        </w:rPr>
        <w:t>Příklad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(slíbený), jak může analýza vypadat</w:t>
      </w:r>
      <w:r w:rsidRPr="005B4AEF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"/>
        <w:gridCol w:w="1950"/>
        <w:gridCol w:w="2583"/>
        <w:gridCol w:w="3467"/>
        <w:gridCol w:w="961"/>
      </w:tblGrid>
      <w:tr w:rsidR="005B4AEF" w:rsidRPr="005B4AEF" w:rsidTr="005B4AEF">
        <w:trPr>
          <w:trHeight w:val="454"/>
        </w:trPr>
        <w:tc>
          <w:tcPr>
            <w:tcW w:w="327" w:type="dxa"/>
            <w:tcBorders>
              <w:bottom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>AKTIVUM</w:t>
            </w:r>
          </w:p>
        </w:tc>
        <w:tc>
          <w:tcPr>
            <w:tcW w:w="2583" w:type="dxa"/>
            <w:tcBorders>
              <w:bottom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>HROZBA</w:t>
            </w:r>
          </w:p>
        </w:tc>
        <w:tc>
          <w:tcPr>
            <w:tcW w:w="3467" w:type="dxa"/>
            <w:tcBorders>
              <w:bottom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>ZRANITELNOST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>RIZIKO</w:t>
            </w:r>
          </w:p>
        </w:tc>
      </w:tr>
      <w:tr w:rsidR="005B4AEF" w:rsidRPr="005B4AEF" w:rsidTr="005B4AEF"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EF" w:rsidRDefault="005B4AEF" w:rsidP="005B4AE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 xml:space="preserve">Osobní </w:t>
            </w:r>
            <w:r>
              <w:rPr>
                <w:rFonts w:ascii="Times New Roman" w:hAnsi="Times New Roman" w:cs="Times New Roman"/>
                <w:b/>
              </w:rPr>
              <w:t>složky</w:t>
            </w:r>
          </w:p>
          <w:p w:rsidR="005B4AEF" w:rsidRPr="005B4AEF" w:rsidRDefault="005B4AEF" w:rsidP="005B4A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zaměstnanců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Zcizení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Neuzamykatelná skříň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AEF" w:rsidRPr="005B4AEF" w:rsidRDefault="005B4AEF" w:rsidP="00C51885">
            <w:pPr>
              <w:jc w:val="center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3</w:t>
            </w:r>
          </w:p>
        </w:tc>
      </w:tr>
      <w:tr w:rsidR="005B4AEF" w:rsidRPr="005B4AEF" w:rsidTr="005B4AEF">
        <w:tc>
          <w:tcPr>
            <w:tcW w:w="3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right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Opatření:</w:t>
            </w:r>
          </w:p>
        </w:tc>
        <w:tc>
          <w:tcPr>
            <w:tcW w:w="60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V rozpočtu na příští rok alokovat částku 30 tis. Kč na instalaci zámků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EF" w:rsidRPr="005B4AEF" w:rsidTr="005B4AEF"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5B4A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AEF">
              <w:rPr>
                <w:rFonts w:ascii="Times New Roman" w:hAnsi="Times New Roman" w:cs="Times New Roman"/>
                <w:b/>
              </w:rPr>
              <w:t xml:space="preserve">Mzdová </w:t>
            </w:r>
            <w:r>
              <w:rPr>
                <w:rFonts w:ascii="Times New Roman" w:hAnsi="Times New Roman" w:cs="Times New Roman"/>
                <w:b/>
              </w:rPr>
              <w:t xml:space="preserve">agenda 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Únik osobních dat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Není uzavřen dodatek GDPR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AEF" w:rsidRPr="005B4AEF" w:rsidRDefault="005B4AEF" w:rsidP="00C51885">
            <w:pPr>
              <w:jc w:val="center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5</w:t>
            </w:r>
          </w:p>
        </w:tc>
      </w:tr>
      <w:tr w:rsidR="005B4AEF" w:rsidRPr="005B4AEF" w:rsidTr="005B4AEF">
        <w:tc>
          <w:tcPr>
            <w:tcW w:w="3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 xml:space="preserve">                Opatření:</w:t>
            </w:r>
          </w:p>
        </w:tc>
        <w:tc>
          <w:tcPr>
            <w:tcW w:w="60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  <w:r w:rsidRPr="005B4AEF">
              <w:rPr>
                <w:rFonts w:ascii="Times New Roman" w:hAnsi="Times New Roman" w:cs="Times New Roman"/>
              </w:rPr>
              <w:t>Bez odkladu uzavřít dodatek ke smlouvě s externím zpracovatelem mzdové agendy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EF" w:rsidRPr="005B4AEF" w:rsidTr="005B4AEF">
        <w:tc>
          <w:tcPr>
            <w:tcW w:w="327" w:type="dxa"/>
            <w:tcBorders>
              <w:top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tcBorders>
              <w:top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EF" w:rsidRPr="005B4AEF" w:rsidTr="005B4AEF">
        <w:tc>
          <w:tcPr>
            <w:tcW w:w="327" w:type="dxa"/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5B4AEF" w:rsidRPr="005B4AEF" w:rsidRDefault="005B4AEF" w:rsidP="00C51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4AEF" w:rsidRPr="005B4AEF" w:rsidRDefault="005B4AEF" w:rsidP="005B4A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4AEF" w:rsidRDefault="005B4AEF" w:rsidP="00615FBF">
      <w:pPr>
        <w:pStyle w:val="l31"/>
        <w:spacing w:line="360" w:lineRule="auto"/>
        <w:rPr>
          <w:color w:val="000000"/>
          <w:sz w:val="22"/>
          <w:szCs w:val="22"/>
        </w:rPr>
      </w:pPr>
      <w:r w:rsidRPr="005B4AEF">
        <w:rPr>
          <w:b/>
          <w:color w:val="FF0000"/>
          <w:sz w:val="22"/>
          <w:szCs w:val="22"/>
        </w:rPr>
        <w:t>Slíbené příklady konkrétních hrozeb:</w:t>
      </w:r>
      <w:r w:rsidRPr="005B4AEF">
        <w:rPr>
          <w:color w:val="000000"/>
          <w:sz w:val="22"/>
          <w:szCs w:val="22"/>
        </w:rPr>
        <w:t xml:space="preserve"> </w:t>
      </w:r>
    </w:p>
    <w:p w:rsid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>Útočník vloží do formuláře na webových stránkách nebezpečný kód;</w:t>
      </w:r>
    </w:p>
    <w:p w:rsidR="005B4AEF" w:rsidRP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 xml:space="preserve">Útočník </w:t>
      </w:r>
      <w:r>
        <w:rPr>
          <w:rFonts w:ascii="Times New Roman" w:eastAsia="Times New Roman" w:hAnsi="Times New Roman" w:cs="Times New Roman"/>
          <w:color w:val="FF0000"/>
        </w:rPr>
        <w:t xml:space="preserve">zašle </w:t>
      </w:r>
      <w:r w:rsidRPr="005B4AEF">
        <w:rPr>
          <w:rFonts w:ascii="Times New Roman" w:eastAsia="Times New Roman" w:hAnsi="Times New Roman" w:cs="Times New Roman"/>
          <w:color w:val="FF0000"/>
        </w:rPr>
        <w:t>nebezpečný kód</w:t>
      </w:r>
      <w:r>
        <w:rPr>
          <w:rFonts w:ascii="Times New Roman" w:eastAsia="Times New Roman" w:hAnsi="Times New Roman" w:cs="Times New Roman"/>
          <w:color w:val="FF0000"/>
        </w:rPr>
        <w:t xml:space="preserve"> prostřednictvím e-mailu</w:t>
      </w:r>
      <w:r w:rsidRPr="005B4AEF">
        <w:rPr>
          <w:rFonts w:ascii="Times New Roman" w:eastAsia="Times New Roman" w:hAnsi="Times New Roman" w:cs="Times New Roman"/>
          <w:color w:val="FF0000"/>
        </w:rPr>
        <w:t>;</w:t>
      </w:r>
    </w:p>
    <w:p w:rsid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 xml:space="preserve">cizí osoba nebo i zaměstnanec při setkání na vašem pracovišti ukradne přenosný pevný disk, </w:t>
      </w:r>
      <w:proofErr w:type="spellStart"/>
      <w:r w:rsidRPr="005B4AEF">
        <w:rPr>
          <w:rFonts w:ascii="Times New Roman" w:eastAsia="Times New Roman" w:hAnsi="Times New Roman" w:cs="Times New Roman"/>
          <w:color w:val="FF0000"/>
        </w:rPr>
        <w:t>flash</w:t>
      </w:r>
      <w:proofErr w:type="spellEnd"/>
      <w:r w:rsidRPr="005B4AEF">
        <w:rPr>
          <w:rFonts w:ascii="Times New Roman" w:eastAsia="Times New Roman" w:hAnsi="Times New Roman" w:cs="Times New Roman"/>
          <w:color w:val="FF0000"/>
        </w:rPr>
        <w:t xml:space="preserve"> paměť s daty apod.;</w:t>
      </w:r>
    </w:p>
    <w:p w:rsidR="005B4AEF" w:rsidRP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>cizí osoba nebo i zaměstnanec</w:t>
      </w:r>
      <w:r>
        <w:rPr>
          <w:rFonts w:ascii="Times New Roman" w:eastAsia="Times New Roman" w:hAnsi="Times New Roman" w:cs="Times New Roman"/>
          <w:color w:val="FF0000"/>
        </w:rPr>
        <w:t xml:space="preserve"> si vyfotí náhodně rozložené dokumenty s osobními údaji dalších zaměstnanců;</w:t>
      </w:r>
    </w:p>
    <w:p w:rsidR="005B4AEF" w:rsidRP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>zaměstnanec omylem</w:t>
      </w:r>
      <w:r>
        <w:rPr>
          <w:rFonts w:ascii="Times New Roman" w:eastAsia="Times New Roman" w:hAnsi="Times New Roman" w:cs="Times New Roman"/>
          <w:color w:val="FF0000"/>
        </w:rPr>
        <w:t xml:space="preserve"> nebo úmyslně</w:t>
      </w:r>
      <w:r w:rsidRPr="005B4AEF">
        <w:rPr>
          <w:rFonts w:ascii="Times New Roman" w:eastAsia="Times New Roman" w:hAnsi="Times New Roman" w:cs="Times New Roman"/>
          <w:color w:val="FF0000"/>
        </w:rPr>
        <w:t xml:space="preserve"> odstraní data z IS;</w:t>
      </w:r>
    </w:p>
    <w:p w:rsid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 xml:space="preserve">déšť otevřeným oknem </w:t>
      </w:r>
      <w:r>
        <w:rPr>
          <w:rFonts w:ascii="Times New Roman" w:eastAsia="Times New Roman" w:hAnsi="Times New Roman" w:cs="Times New Roman"/>
          <w:color w:val="FF0000"/>
        </w:rPr>
        <w:t xml:space="preserve">či místností vedoucí vodovodní trubky </w:t>
      </w:r>
      <w:r w:rsidRPr="005B4AEF">
        <w:rPr>
          <w:rFonts w:ascii="Times New Roman" w:eastAsia="Times New Roman" w:hAnsi="Times New Roman" w:cs="Times New Roman"/>
          <w:color w:val="FF0000"/>
        </w:rPr>
        <w:t>zatopí a zničí počítačové servery a telekomunikace</w:t>
      </w:r>
      <w:r>
        <w:rPr>
          <w:rFonts w:ascii="Times New Roman" w:eastAsia="Times New Roman" w:hAnsi="Times New Roman" w:cs="Times New Roman"/>
          <w:color w:val="FF0000"/>
        </w:rPr>
        <w:t>;</w:t>
      </w:r>
    </w:p>
    <w:p w:rsid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>
        <w:rPr>
          <w:rFonts w:ascii="Times New Roman" w:eastAsia="Times New Roman" w:hAnsi="Times New Roman" w:cs="Times New Roman"/>
          <w:color w:val="FF0000"/>
        </w:rPr>
        <w:lastRenderedPageBreak/>
        <w:t>black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out</w:t>
      </w:r>
      <w:proofErr w:type="spellEnd"/>
      <w:r>
        <w:rPr>
          <w:rFonts w:ascii="Times New Roman" w:eastAsia="Times New Roman" w:hAnsi="Times New Roman" w:cs="Times New Roman"/>
          <w:color w:val="FF0000"/>
        </w:rPr>
        <w:t>;</w:t>
      </w:r>
    </w:p>
    <w:p w:rsidR="005B4AEF" w:rsidRPr="005B4AEF" w:rsidRDefault="005B4AEF" w:rsidP="005B4AEF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B4AEF">
        <w:rPr>
          <w:rFonts w:ascii="Times New Roman" w:eastAsia="Times New Roman" w:hAnsi="Times New Roman" w:cs="Times New Roman"/>
          <w:color w:val="FF0000"/>
        </w:rPr>
        <w:t>oknem odhozený nedopalek do spisovny (umístěna ve sklepě, pouze malá okna směřující do ulice) způsobí požár spisovny atd.</w:t>
      </w:r>
    </w:p>
    <w:p w:rsidR="002955B6" w:rsidRPr="00D77440" w:rsidRDefault="002955B6" w:rsidP="00615FBF">
      <w:pPr>
        <w:pStyle w:val="l31"/>
        <w:spacing w:line="360" w:lineRule="auto"/>
        <w:rPr>
          <w:color w:val="000000" w:themeColor="text1"/>
        </w:rPr>
      </w:pPr>
      <w:r w:rsidRPr="00D77440">
        <w:rPr>
          <w:color w:val="000000" w:themeColor="text1"/>
        </w:rPr>
        <w:t>Celkové výsledky rizikového skóre jsou uvedeny v </w:t>
      </w:r>
      <w:r w:rsidR="006C70A2">
        <w:rPr>
          <w:color w:val="000000" w:themeColor="text1"/>
        </w:rPr>
        <w:t>„</w:t>
      </w:r>
      <w:r w:rsidR="006C70A2" w:rsidRPr="006C70A2">
        <w:rPr>
          <w:color w:val="000000" w:themeColor="text1"/>
        </w:rPr>
        <w:t>RA ve vazb</w:t>
      </w:r>
      <w:r w:rsidR="006C70A2">
        <w:rPr>
          <w:color w:val="000000" w:themeColor="text1"/>
        </w:rPr>
        <w:t>ě</w:t>
      </w:r>
      <w:r w:rsidR="006C70A2" w:rsidRPr="006C70A2">
        <w:rPr>
          <w:color w:val="000000" w:themeColor="text1"/>
        </w:rPr>
        <w:t xml:space="preserve"> na GDPR</w:t>
      </w:r>
      <w:r w:rsidR="006C70A2">
        <w:rPr>
          <w:color w:val="000000" w:themeColor="text1"/>
        </w:rPr>
        <w:t>“</w:t>
      </w:r>
      <w:r w:rsidRPr="00D77440">
        <w:rPr>
          <w:color w:val="000000" w:themeColor="text1"/>
        </w:rPr>
        <w:t>. Z nich vyplývá následující.</w:t>
      </w:r>
    </w:p>
    <w:p w:rsidR="002955B6" w:rsidRPr="00D77440" w:rsidRDefault="002955B6" w:rsidP="00615FBF">
      <w:pPr>
        <w:pStyle w:val="l31"/>
        <w:spacing w:line="360" w:lineRule="auto"/>
        <w:rPr>
          <w:color w:val="000000"/>
        </w:rPr>
      </w:pPr>
      <w:r w:rsidRPr="00D77440">
        <w:rPr>
          <w:color w:val="000000"/>
        </w:rPr>
        <w:t xml:space="preserve">V každém případě je nutno pracovat s bezpečnostním povědomím zaměstnanců s cílem zvýšit jejich zodpovědnost za ochranu osobních údajů. K tomu je nutné jim připravit vhodné technické podmínky, a to jak na úrovni fyzického zabezpečení (uzamykání kanceláří, ordinací apod., uzamykání registratur/skříní se spisy, …), tak i v rámci nezbytné podpory ze strany ICT. Zároveň ale platí, že aby ICT mohlo plnohodnotně tuto podporu uživatelům poskytovat, musí k tomu mít ty správné prostředky a připraveno vhodné prostředí. </w:t>
      </w:r>
    </w:p>
    <w:p w:rsidR="005F7BDB" w:rsidRDefault="005F7BDB"/>
    <w:p w:rsidR="00114410" w:rsidRPr="00114410" w:rsidRDefault="00114410" w:rsidP="001144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410">
        <w:rPr>
          <w:rFonts w:ascii="Times New Roman" w:hAnsi="Times New Roman" w:cs="Times New Roman"/>
          <w:b/>
          <w:i/>
          <w:sz w:val="24"/>
          <w:szCs w:val="24"/>
        </w:rPr>
        <w:t>Základní doporučení na základě analýzy: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Seznámit se s novými právními normami, které řeší problematiku ochrany osobních údajů (GDPR).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Zpracovat nový přehled osobních údajů ve škole (účel zpracování, osobní a údaje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zvláštní kategorie</w:t>
      </w:r>
      <w:r w:rsidRPr="00114410">
        <w:rPr>
          <w:rFonts w:ascii="Times New Roman" w:hAnsi="Times New Roman" w:cs="Times New Roman"/>
          <w:sz w:val="24"/>
          <w:szCs w:val="24"/>
          <w:lang w:eastAsia="cs-CZ"/>
        </w:rPr>
        <w:t>, zákonné zpracování, zpracování se souhlasem, …). Minimalizovat zpracovávané osobní údaje.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Připravit tzv. karty záznamů o činnostech zpracování podle čl. 30 nařízení.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Nastavit vnitřní procesy zacházení s osobními údaji (nová směrnice ředitele školy k ochraně osobních údajů podle nového nařízení EU).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Doplnit o problematiku GDPR další dokumenty školy (Organizační řád, Spisový a skartační řád, Školní řád, pracovní náplně, kamerový systém, …).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Jmenovat pověřence pro ochranu osobních údajů, stanovit mu pracovní náplň a plat.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 xml:space="preserve">Zkontrolovat platné smlouvy se zpracovateli osobních údajů (poskytovatelé informačních systémů, čipových a vstupních karet, zpracování platů, </w:t>
      </w:r>
      <w:proofErr w:type="spellStart"/>
      <w:r w:rsidRPr="00114410">
        <w:rPr>
          <w:rFonts w:ascii="Times New Roman" w:hAnsi="Times New Roman" w:cs="Times New Roman"/>
          <w:sz w:val="24"/>
          <w:szCs w:val="24"/>
          <w:lang w:eastAsia="cs-CZ"/>
        </w:rPr>
        <w:t>cloudové</w:t>
      </w:r>
      <w:proofErr w:type="spellEnd"/>
      <w:r w:rsidRPr="00114410">
        <w:rPr>
          <w:rFonts w:ascii="Times New Roman" w:hAnsi="Times New Roman" w:cs="Times New Roman"/>
          <w:sz w:val="24"/>
          <w:szCs w:val="24"/>
          <w:lang w:eastAsia="cs-CZ"/>
        </w:rPr>
        <w:t xml:space="preserve"> uložiště</w:t>
      </w:r>
      <w:r w:rsidR="00800620">
        <w:rPr>
          <w:rFonts w:ascii="Times New Roman" w:hAnsi="Times New Roman" w:cs="Times New Roman"/>
          <w:sz w:val="24"/>
          <w:szCs w:val="24"/>
          <w:lang w:eastAsia="cs-CZ"/>
        </w:rPr>
        <w:t xml:space="preserve"> a další)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 xml:space="preserve">Zpracovat ochranu osobních údajů i ve vztahu k firmám (fakturace, kupní smlouvy, …) 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Dát žákům, zaměstnancům a zákonným zástupcům zaměstnanců podepsat nový informovaný souhlas se zpracováním osobních údajů.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Revize formulářů školy s osobními údaji (zda neobsahují nadbytečné osobní údaje, zákaz používání nevhodných formulářů na internetu, …).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Zákaz předávání osobních údajů žáků a zaměstnanců školy třetím osobám soukromého práva (nabídky pomůcek, knih, aktivit pro žáky a zaměstnance, …).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Ohlašování případů porušení zabezpečení osobních údajů dozorovému úřadu.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Informovat zaměstnance, žáky, zákonné zástupce žáků o zpracování osobních údajů (GDPR).</w:t>
      </w:r>
    </w:p>
    <w:p w:rsidR="00114410" w:rsidRPr="00114410" w:rsidRDefault="00114410" w:rsidP="00114410">
      <w:pPr>
        <w:pStyle w:val="Styl1"/>
        <w:numPr>
          <w:ilvl w:val="0"/>
          <w:numId w:val="1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4410">
        <w:rPr>
          <w:rFonts w:ascii="Times New Roman" w:hAnsi="Times New Roman" w:cs="Times New Roman"/>
          <w:sz w:val="24"/>
          <w:szCs w:val="24"/>
          <w:lang w:eastAsia="cs-CZ"/>
        </w:rPr>
        <w:t>Pravidelná kontrola dodržování ochrany osobních údajů ze strany vedení školy.</w:t>
      </w:r>
    </w:p>
    <w:p w:rsidR="00114410" w:rsidRDefault="00114410" w:rsidP="00114410">
      <w:pPr>
        <w:pStyle w:val="Odstavecseseznamem"/>
        <w:numPr>
          <w:ilvl w:val="0"/>
          <w:numId w:val="12"/>
        </w:numPr>
        <w:spacing w:line="360" w:lineRule="auto"/>
        <w:ind w:left="567" w:hanging="425"/>
        <w:jc w:val="both"/>
      </w:pPr>
      <w:r w:rsidRPr="00114410">
        <w:rPr>
          <w:rFonts w:ascii="Times New Roman" w:hAnsi="Times New Roman" w:cs="Times New Roman"/>
          <w:sz w:val="24"/>
          <w:szCs w:val="24"/>
        </w:rPr>
        <w:t>Do školního vzdělávacího programu zapracovat problematiku prevence a výchov k ochraně osobních údajů.</w:t>
      </w:r>
      <w:r>
        <w:t xml:space="preserve"> </w:t>
      </w:r>
    </w:p>
    <w:sectPr w:rsidR="0011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3.5pt" o:bullet="t">
        <v:imagedata r:id="rId1" o:title="Odrážka"/>
      </v:shape>
    </w:pict>
  </w:numPicBullet>
  <w:abstractNum w:abstractNumId="0">
    <w:nsid w:val="04FB4DF2"/>
    <w:multiLevelType w:val="hybridMultilevel"/>
    <w:tmpl w:val="1C0C6564"/>
    <w:lvl w:ilvl="0" w:tplc="C4E8AB80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C59A8"/>
    <w:multiLevelType w:val="hybridMultilevel"/>
    <w:tmpl w:val="45240534"/>
    <w:lvl w:ilvl="0" w:tplc="1166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5911"/>
    <w:multiLevelType w:val="hybridMultilevel"/>
    <w:tmpl w:val="561AA862"/>
    <w:lvl w:ilvl="0" w:tplc="CF72CDB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D1C98"/>
    <w:multiLevelType w:val="hybridMultilevel"/>
    <w:tmpl w:val="E334D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4C69"/>
    <w:multiLevelType w:val="multilevel"/>
    <w:tmpl w:val="7CFC59D8"/>
    <w:lvl w:ilvl="0">
      <w:start w:val="1"/>
      <w:numFmt w:val="decimal"/>
      <w:pStyle w:val="NADPISBDO1"/>
      <w:lvlText w:val="%1."/>
      <w:lvlJc w:val="left"/>
      <w:pPr>
        <w:ind w:left="720" w:hanging="360"/>
      </w:pPr>
    </w:lvl>
    <w:lvl w:ilvl="1">
      <w:start w:val="1"/>
      <w:numFmt w:val="decimal"/>
      <w:pStyle w:val="PODNADPIS1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pStyle w:val="PODNADPIS2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EC71B29"/>
    <w:multiLevelType w:val="hybridMultilevel"/>
    <w:tmpl w:val="5A48D3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E4EC1"/>
    <w:multiLevelType w:val="hybridMultilevel"/>
    <w:tmpl w:val="2CA41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09F5"/>
    <w:multiLevelType w:val="hybridMultilevel"/>
    <w:tmpl w:val="5538C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614D2"/>
    <w:multiLevelType w:val="hybridMultilevel"/>
    <w:tmpl w:val="C194EC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B6BAC"/>
    <w:multiLevelType w:val="hybridMultilevel"/>
    <w:tmpl w:val="DF7C1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276"/>
    <w:multiLevelType w:val="hybridMultilevel"/>
    <w:tmpl w:val="4F2C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40E29"/>
    <w:multiLevelType w:val="hybridMultilevel"/>
    <w:tmpl w:val="D6D435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12D60"/>
    <w:multiLevelType w:val="hybridMultilevel"/>
    <w:tmpl w:val="CD0015EE"/>
    <w:lvl w:ilvl="0" w:tplc="CF72CDB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B6"/>
    <w:rsid w:val="0010561C"/>
    <w:rsid w:val="00114410"/>
    <w:rsid w:val="002955B6"/>
    <w:rsid w:val="004B5165"/>
    <w:rsid w:val="004D57A2"/>
    <w:rsid w:val="00532478"/>
    <w:rsid w:val="005B4AEF"/>
    <w:rsid w:val="005F7BDB"/>
    <w:rsid w:val="00615FBF"/>
    <w:rsid w:val="006C70A2"/>
    <w:rsid w:val="007D06CE"/>
    <w:rsid w:val="00800620"/>
    <w:rsid w:val="00AC6411"/>
    <w:rsid w:val="00B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rsid w:val="002955B6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DO1">
    <w:name w:val="NADPIS BDO 1"/>
    <w:basedOn w:val="Odstavecseseznamem"/>
    <w:link w:val="NADPISBDO1Char"/>
    <w:qFormat/>
    <w:rsid w:val="002955B6"/>
    <w:pPr>
      <w:numPr>
        <w:numId w:val="1"/>
      </w:numPr>
      <w:spacing w:before="480" w:after="240" w:line="240" w:lineRule="auto"/>
      <w:contextualSpacing w:val="0"/>
      <w:outlineLvl w:val="0"/>
    </w:pPr>
    <w:rPr>
      <w:rFonts w:ascii="Times New Roman" w:hAnsi="Times New Roman"/>
      <w:b/>
      <w:color w:val="000000" w:themeColor="text1"/>
      <w:sz w:val="32"/>
    </w:rPr>
  </w:style>
  <w:style w:type="character" w:customStyle="1" w:styleId="NADPISBDO1Char">
    <w:name w:val="NADPIS BDO 1 Char"/>
    <w:basedOn w:val="Standardnpsmoodstavce"/>
    <w:link w:val="NADPISBDO1"/>
    <w:rsid w:val="002955B6"/>
    <w:rPr>
      <w:rFonts w:ascii="Times New Roman" w:eastAsiaTheme="minorEastAsia" w:hAnsi="Times New Roman"/>
      <w:b/>
      <w:color w:val="000000" w:themeColor="text1"/>
      <w:sz w:val="32"/>
      <w:lang w:eastAsia="cs-CZ"/>
    </w:rPr>
  </w:style>
  <w:style w:type="paragraph" w:customStyle="1" w:styleId="PODNADPIS1">
    <w:name w:val="PODNADPIS 1"/>
    <w:basedOn w:val="Nadpis2"/>
    <w:autoRedefine/>
    <w:qFormat/>
    <w:rsid w:val="002955B6"/>
    <w:pPr>
      <w:numPr>
        <w:ilvl w:val="1"/>
        <w:numId w:val="1"/>
      </w:numPr>
      <w:spacing w:before="240" w:after="120" w:line="288" w:lineRule="auto"/>
      <w:ind w:left="567" w:hanging="567"/>
    </w:pPr>
    <w:rPr>
      <w:rFonts w:ascii="Times New Roman" w:hAnsi="Times New Roman"/>
      <w:b/>
      <w:bCs/>
      <w:color w:val="000000" w:themeColor="text1"/>
      <w:sz w:val="28"/>
    </w:rPr>
  </w:style>
  <w:style w:type="paragraph" w:customStyle="1" w:styleId="NormTEXT">
    <w:name w:val="Norm TEXT"/>
    <w:basedOn w:val="Normln"/>
    <w:link w:val="NormTEXTChar"/>
    <w:qFormat/>
    <w:rsid w:val="002955B6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NormTEXTChar">
    <w:name w:val="Norm TEXT Char"/>
    <w:basedOn w:val="Standardnpsmoodstavce"/>
    <w:link w:val="NormTEXT"/>
    <w:rsid w:val="002955B6"/>
    <w:rPr>
      <w:rFonts w:ascii="Times New Roman" w:eastAsiaTheme="minorEastAsia" w:hAnsi="Times New Roman"/>
      <w:sz w:val="24"/>
      <w:lang w:eastAsia="cs-CZ"/>
    </w:rPr>
  </w:style>
  <w:style w:type="paragraph" w:customStyle="1" w:styleId="PODNADPIS2">
    <w:name w:val="PODNADPIS 2"/>
    <w:basedOn w:val="Odstavecseseznamem"/>
    <w:qFormat/>
    <w:rsid w:val="002955B6"/>
    <w:pPr>
      <w:numPr>
        <w:ilvl w:val="2"/>
        <w:numId w:val="1"/>
      </w:numPr>
      <w:spacing w:before="360" w:after="240" w:line="240" w:lineRule="auto"/>
      <w:ind w:left="720"/>
      <w:outlineLvl w:val="2"/>
    </w:pPr>
    <w:rPr>
      <w:rFonts w:ascii="Times New Roman" w:hAnsi="Times New Roman"/>
      <w:b/>
      <w:i/>
      <w:color w:val="000000" w:themeColor="text1"/>
      <w:sz w:val="24"/>
    </w:rPr>
  </w:style>
  <w:style w:type="table" w:styleId="Mkatabulky">
    <w:name w:val="Table Grid"/>
    <w:basedOn w:val="Normlntabulka"/>
    <w:uiPriority w:val="39"/>
    <w:rsid w:val="002955B6"/>
    <w:pPr>
      <w:spacing w:after="0" w:line="240" w:lineRule="auto"/>
    </w:pPr>
    <w:rPr>
      <w:rFonts w:ascii="Trebuchet MS" w:hAnsi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955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1">
    <w:name w:val="l31"/>
    <w:basedOn w:val="Normln"/>
    <w:rsid w:val="002955B6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2955B6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55B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95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615FB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11441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114410"/>
  </w:style>
  <w:style w:type="paragraph" w:customStyle="1" w:styleId="Styl1">
    <w:name w:val="Styl1"/>
    <w:basedOn w:val="Bezmezer"/>
    <w:link w:val="Styl1Char"/>
    <w:qFormat/>
    <w:rsid w:val="00114410"/>
    <w:pPr>
      <w:ind w:left="227" w:hanging="227"/>
    </w:pPr>
  </w:style>
  <w:style w:type="character" w:customStyle="1" w:styleId="Styl1Char">
    <w:name w:val="Styl1 Char"/>
    <w:basedOn w:val="BezmezerChar"/>
    <w:link w:val="Styl1"/>
    <w:rsid w:val="00114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rsid w:val="002955B6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DO1">
    <w:name w:val="NADPIS BDO 1"/>
    <w:basedOn w:val="Odstavecseseznamem"/>
    <w:link w:val="NADPISBDO1Char"/>
    <w:qFormat/>
    <w:rsid w:val="002955B6"/>
    <w:pPr>
      <w:numPr>
        <w:numId w:val="1"/>
      </w:numPr>
      <w:spacing w:before="480" w:after="240" w:line="240" w:lineRule="auto"/>
      <w:contextualSpacing w:val="0"/>
      <w:outlineLvl w:val="0"/>
    </w:pPr>
    <w:rPr>
      <w:rFonts w:ascii="Times New Roman" w:hAnsi="Times New Roman"/>
      <w:b/>
      <w:color w:val="000000" w:themeColor="text1"/>
      <w:sz w:val="32"/>
    </w:rPr>
  </w:style>
  <w:style w:type="character" w:customStyle="1" w:styleId="NADPISBDO1Char">
    <w:name w:val="NADPIS BDO 1 Char"/>
    <w:basedOn w:val="Standardnpsmoodstavce"/>
    <w:link w:val="NADPISBDO1"/>
    <w:rsid w:val="002955B6"/>
    <w:rPr>
      <w:rFonts w:ascii="Times New Roman" w:eastAsiaTheme="minorEastAsia" w:hAnsi="Times New Roman"/>
      <w:b/>
      <w:color w:val="000000" w:themeColor="text1"/>
      <w:sz w:val="32"/>
      <w:lang w:eastAsia="cs-CZ"/>
    </w:rPr>
  </w:style>
  <w:style w:type="paragraph" w:customStyle="1" w:styleId="PODNADPIS1">
    <w:name w:val="PODNADPIS 1"/>
    <w:basedOn w:val="Nadpis2"/>
    <w:autoRedefine/>
    <w:qFormat/>
    <w:rsid w:val="002955B6"/>
    <w:pPr>
      <w:numPr>
        <w:ilvl w:val="1"/>
        <w:numId w:val="1"/>
      </w:numPr>
      <w:spacing w:before="240" w:after="120" w:line="288" w:lineRule="auto"/>
      <w:ind w:left="567" w:hanging="567"/>
    </w:pPr>
    <w:rPr>
      <w:rFonts w:ascii="Times New Roman" w:hAnsi="Times New Roman"/>
      <w:b/>
      <w:bCs/>
      <w:color w:val="000000" w:themeColor="text1"/>
      <w:sz w:val="28"/>
    </w:rPr>
  </w:style>
  <w:style w:type="paragraph" w:customStyle="1" w:styleId="NormTEXT">
    <w:name w:val="Norm TEXT"/>
    <w:basedOn w:val="Normln"/>
    <w:link w:val="NormTEXTChar"/>
    <w:qFormat/>
    <w:rsid w:val="002955B6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NormTEXTChar">
    <w:name w:val="Norm TEXT Char"/>
    <w:basedOn w:val="Standardnpsmoodstavce"/>
    <w:link w:val="NormTEXT"/>
    <w:rsid w:val="002955B6"/>
    <w:rPr>
      <w:rFonts w:ascii="Times New Roman" w:eastAsiaTheme="minorEastAsia" w:hAnsi="Times New Roman"/>
      <w:sz w:val="24"/>
      <w:lang w:eastAsia="cs-CZ"/>
    </w:rPr>
  </w:style>
  <w:style w:type="paragraph" w:customStyle="1" w:styleId="PODNADPIS2">
    <w:name w:val="PODNADPIS 2"/>
    <w:basedOn w:val="Odstavecseseznamem"/>
    <w:qFormat/>
    <w:rsid w:val="002955B6"/>
    <w:pPr>
      <w:numPr>
        <w:ilvl w:val="2"/>
        <w:numId w:val="1"/>
      </w:numPr>
      <w:spacing w:before="360" w:after="240" w:line="240" w:lineRule="auto"/>
      <w:ind w:left="720"/>
      <w:outlineLvl w:val="2"/>
    </w:pPr>
    <w:rPr>
      <w:rFonts w:ascii="Times New Roman" w:hAnsi="Times New Roman"/>
      <w:b/>
      <w:i/>
      <w:color w:val="000000" w:themeColor="text1"/>
      <w:sz w:val="24"/>
    </w:rPr>
  </w:style>
  <w:style w:type="table" w:styleId="Mkatabulky">
    <w:name w:val="Table Grid"/>
    <w:basedOn w:val="Normlntabulka"/>
    <w:uiPriority w:val="39"/>
    <w:rsid w:val="002955B6"/>
    <w:pPr>
      <w:spacing w:after="0" w:line="240" w:lineRule="auto"/>
    </w:pPr>
    <w:rPr>
      <w:rFonts w:ascii="Trebuchet MS" w:hAnsi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955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1">
    <w:name w:val="l31"/>
    <w:basedOn w:val="Normln"/>
    <w:rsid w:val="002955B6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2955B6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55B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95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615FB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11441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114410"/>
  </w:style>
  <w:style w:type="paragraph" w:customStyle="1" w:styleId="Styl1">
    <w:name w:val="Styl1"/>
    <w:basedOn w:val="Bezmezer"/>
    <w:link w:val="Styl1Char"/>
    <w:qFormat/>
    <w:rsid w:val="00114410"/>
    <w:pPr>
      <w:ind w:left="227" w:hanging="227"/>
    </w:pPr>
  </w:style>
  <w:style w:type="character" w:customStyle="1" w:styleId="Styl1Char">
    <w:name w:val="Styl1 Char"/>
    <w:basedOn w:val="BezmezerChar"/>
    <w:link w:val="Styl1"/>
    <w:rsid w:val="001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C8A1-2598-4123-8563-94AA39E8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2218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2018-04-28T13:38:00Z</dcterms:created>
  <dcterms:modified xsi:type="dcterms:W3CDTF">2018-05-23T16:22:00Z</dcterms:modified>
</cp:coreProperties>
</file>